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sz w:val="32"/>
          <w:szCs w:val="32"/>
        </w:rPr>
      </w:pPr>
      <w:r>
        <w:rPr>
          <w:rFonts w:hint="eastAsia" w:ascii="黑体" w:hAnsi="黑体" w:eastAsia="黑体"/>
          <w:sz w:val="32"/>
          <w:szCs w:val="32"/>
        </w:rPr>
        <w:t>附件：</w:t>
      </w:r>
    </w:p>
    <w:p>
      <w:pPr>
        <w:spacing w:line="560" w:lineRule="exact"/>
        <w:rPr>
          <w:sz w:val="36"/>
          <w:szCs w:val="36"/>
        </w:rPr>
      </w:pPr>
    </w:p>
    <w:p>
      <w:pPr>
        <w:pStyle w:val="9"/>
        <w:spacing w:before="0" w:after="0" w:line="560" w:lineRule="exact"/>
        <w:jc w:val="center"/>
        <w:rPr>
          <w:rStyle w:val="10"/>
          <w:rFonts w:hint="eastAsia" w:ascii="方正小标宋简体" w:hAnsi="华文中宋" w:eastAsia="方正小标宋简体" w:cs="华文中宋"/>
          <w:sz w:val="44"/>
          <w:szCs w:val="44"/>
        </w:rPr>
      </w:pPr>
      <w:bookmarkStart w:id="0" w:name="_GoBack"/>
      <w:bookmarkEnd w:id="0"/>
      <w:r>
        <w:rPr>
          <w:rStyle w:val="10"/>
          <w:rFonts w:hint="eastAsia" w:ascii="方正小标宋简体" w:hAnsi="华文中宋" w:eastAsia="方正小标宋简体" w:cs="华文中宋"/>
          <w:sz w:val="44"/>
          <w:szCs w:val="44"/>
        </w:rPr>
        <w:t>黑龙江省技术创新中心</w:t>
      </w:r>
    </w:p>
    <w:p>
      <w:pPr>
        <w:pStyle w:val="9"/>
        <w:spacing w:before="0" w:after="0" w:line="560" w:lineRule="exact"/>
        <w:jc w:val="center"/>
        <w:rPr>
          <w:rStyle w:val="10"/>
          <w:rFonts w:hint="eastAsia" w:ascii="方正小标宋简体" w:hAnsi="华文中宋" w:eastAsia="方正小标宋简体" w:cs="华文中宋"/>
          <w:sz w:val="44"/>
          <w:szCs w:val="44"/>
        </w:rPr>
      </w:pPr>
      <w:r>
        <w:rPr>
          <w:rStyle w:val="10"/>
          <w:rFonts w:hint="eastAsia" w:ascii="方正小标宋简体" w:hAnsi="华文中宋" w:eastAsia="方正小标宋简体" w:cs="华文中宋"/>
          <w:sz w:val="44"/>
          <w:szCs w:val="44"/>
        </w:rPr>
        <w:t>建设管理暂行办法</w:t>
      </w:r>
    </w:p>
    <w:p>
      <w:pPr>
        <w:pStyle w:val="9"/>
        <w:spacing w:before="0" w:after="0" w:line="520" w:lineRule="exact"/>
        <w:jc w:val="both"/>
        <w:rPr>
          <w:rStyle w:val="10"/>
          <w:rFonts w:ascii="Verdana" w:hAnsi="Verdana"/>
          <w:b w:val="0"/>
          <w:color w:val="000000"/>
          <w:sz w:val="36"/>
          <w:szCs w:val="36"/>
        </w:rPr>
      </w:pPr>
    </w:p>
    <w:p>
      <w:pPr>
        <w:pStyle w:val="9"/>
        <w:numPr>
          <w:ilvl w:val="0"/>
          <w:numId w:val="1"/>
        </w:numPr>
        <w:spacing w:before="0" w:after="0" w:line="500" w:lineRule="exact"/>
        <w:jc w:val="center"/>
        <w:rPr>
          <w:rStyle w:val="10"/>
          <w:rFonts w:ascii="黑体" w:hAnsi="黑体" w:eastAsia="黑体"/>
          <w:b w:val="0"/>
          <w:color w:val="000000"/>
          <w:sz w:val="32"/>
          <w:szCs w:val="32"/>
        </w:rPr>
      </w:pPr>
      <w:r>
        <w:rPr>
          <w:rStyle w:val="10"/>
          <w:rFonts w:hint="eastAsia" w:ascii="黑体" w:hAnsi="黑体" w:eastAsia="黑体"/>
          <w:b w:val="0"/>
          <w:color w:val="000000"/>
          <w:sz w:val="32"/>
          <w:szCs w:val="32"/>
        </w:rPr>
        <w:t>总 则</w:t>
      </w:r>
    </w:p>
    <w:p>
      <w:pPr>
        <w:pStyle w:val="9"/>
        <w:spacing w:before="0" w:after="0" w:line="500" w:lineRule="exact"/>
        <w:ind w:firstLine="640" w:firstLineChars="200"/>
        <w:jc w:val="both"/>
        <w:rPr>
          <w:rFonts w:ascii="仿宋_GB2312" w:eastAsia="仿宋_GB2312"/>
          <w:sz w:val="32"/>
          <w:szCs w:val="32"/>
        </w:rPr>
      </w:pPr>
      <w:r>
        <w:rPr>
          <w:rStyle w:val="10"/>
          <w:rFonts w:hint="eastAsia" w:ascii="仿宋_GB2312" w:eastAsia="仿宋_GB2312"/>
          <w:b w:val="0"/>
          <w:color w:val="000000"/>
          <w:sz w:val="32"/>
          <w:szCs w:val="32"/>
        </w:rPr>
        <w:t xml:space="preserve">第一条 </w:t>
      </w:r>
      <w:r>
        <w:rPr>
          <w:rFonts w:hint="eastAsia" w:ascii="仿宋_GB2312" w:eastAsia="仿宋_GB2312"/>
          <w:sz w:val="32"/>
          <w:szCs w:val="32"/>
        </w:rPr>
        <w:t>为规范黑龙江省技术创新中心建设，建立健全以企业为主体、市场为导向、产学研相结合的技术创新体系，充分发挥省技术创新中心在促进产业技术进步、推动科技成果转化及产业</w:t>
      </w:r>
      <w:r>
        <w:rPr>
          <w:rFonts w:hint="eastAsia" w:ascii="仿宋_GB2312" w:eastAsia="仿宋_GB2312"/>
          <w:color w:val="000000"/>
          <w:sz w:val="32"/>
          <w:szCs w:val="32"/>
        </w:rPr>
        <w:t>化方面的示</w:t>
      </w:r>
      <w:r>
        <w:rPr>
          <w:rFonts w:hint="eastAsia" w:ascii="仿宋_GB2312" w:eastAsia="仿宋_GB2312"/>
          <w:sz w:val="32"/>
          <w:szCs w:val="32"/>
        </w:rPr>
        <w:t>范和引领作用，根据国家有关规定，结合我省实际，制订本办法。</w:t>
      </w:r>
    </w:p>
    <w:p>
      <w:pPr>
        <w:pStyle w:val="9"/>
        <w:spacing w:before="0" w:after="0" w:line="500" w:lineRule="exact"/>
        <w:ind w:firstLine="630"/>
        <w:jc w:val="both"/>
        <w:rPr>
          <w:rFonts w:ascii="仿宋_GB2312" w:eastAsia="仿宋_GB2312"/>
          <w:sz w:val="32"/>
          <w:szCs w:val="32"/>
        </w:rPr>
      </w:pPr>
      <w:r>
        <w:rPr>
          <w:rStyle w:val="10"/>
          <w:rFonts w:hint="eastAsia" w:ascii="仿宋_GB2312" w:eastAsia="仿宋_GB2312"/>
          <w:b w:val="0"/>
          <w:color w:val="000000"/>
          <w:sz w:val="32"/>
          <w:szCs w:val="32"/>
        </w:rPr>
        <w:t xml:space="preserve">第二条 </w:t>
      </w:r>
      <w:r>
        <w:rPr>
          <w:rFonts w:hint="eastAsia" w:ascii="仿宋_GB2312" w:eastAsia="仿宋_GB2312"/>
          <w:sz w:val="32"/>
          <w:szCs w:val="32"/>
        </w:rPr>
        <w:t>技术创新中心是我省创新体系的重要组成部分，是面向影响全省长远发展稳定的行业和产业需求，开展重大关键共性技术和产品研发、成果转化及应用示范，为行业和企业提供成熟配套的技术及装备，并不断地推出具有高增值效益的系列新产品，推动产业技术发展和企业技术进步，培养和聚集高层次科技创新人才和管理人才，加强科技合作与交流的重要平台。</w:t>
      </w:r>
    </w:p>
    <w:p>
      <w:pPr>
        <w:pStyle w:val="9"/>
        <w:spacing w:before="0" w:after="0" w:line="500" w:lineRule="exact"/>
        <w:ind w:firstLine="630"/>
        <w:jc w:val="both"/>
        <w:rPr>
          <w:rFonts w:ascii="仿宋_GB2312" w:eastAsia="仿宋_GB2312"/>
          <w:color w:val="000000"/>
          <w:sz w:val="32"/>
          <w:szCs w:val="32"/>
        </w:rPr>
      </w:pPr>
      <w:r>
        <w:rPr>
          <w:rStyle w:val="10"/>
          <w:rFonts w:hint="eastAsia" w:ascii="仿宋_GB2312" w:eastAsia="仿宋_GB2312"/>
          <w:b w:val="0"/>
          <w:color w:val="000000"/>
          <w:sz w:val="32"/>
          <w:szCs w:val="32"/>
        </w:rPr>
        <w:t xml:space="preserve">第三条 </w:t>
      </w:r>
      <w:r>
        <w:rPr>
          <w:rFonts w:hint="eastAsia" w:ascii="仿宋_GB2312" w:eastAsia="仿宋_GB2312"/>
          <w:color w:val="000000"/>
          <w:sz w:val="32"/>
          <w:szCs w:val="32"/>
        </w:rPr>
        <w:t>技术创新中心建设应符合全省国民经济与社会发展总体规划以及科技发展规划，涉及的产业领域应符合国家产业政策。</w:t>
      </w:r>
    </w:p>
    <w:p>
      <w:pPr>
        <w:pStyle w:val="9"/>
        <w:spacing w:before="0" w:after="0" w:line="500" w:lineRule="exact"/>
        <w:ind w:firstLine="630"/>
        <w:jc w:val="both"/>
        <w:rPr>
          <w:rFonts w:ascii="仿宋_GB2312" w:eastAsia="仿宋_GB2312"/>
          <w:sz w:val="32"/>
          <w:szCs w:val="32"/>
        </w:rPr>
      </w:pPr>
      <w:r>
        <w:rPr>
          <w:rStyle w:val="10"/>
          <w:rFonts w:hint="eastAsia" w:ascii="仿宋_GB2312" w:eastAsia="仿宋_GB2312"/>
          <w:b w:val="0"/>
          <w:color w:val="000000"/>
          <w:sz w:val="32"/>
          <w:szCs w:val="32"/>
        </w:rPr>
        <w:t xml:space="preserve">第四条 </w:t>
      </w:r>
      <w:r>
        <w:rPr>
          <w:rFonts w:hint="eastAsia" w:ascii="仿宋_GB2312" w:eastAsia="仿宋_GB2312"/>
          <w:sz w:val="32"/>
          <w:szCs w:val="32"/>
        </w:rPr>
        <w:t>技术创新中心建设主要依托企业、科研院所、高等院校</w:t>
      </w:r>
      <w:r>
        <w:rPr>
          <w:rFonts w:hint="eastAsia" w:ascii="仿宋_GB2312" w:eastAsia="仿宋_GB2312"/>
          <w:color w:val="000000"/>
          <w:sz w:val="32"/>
          <w:szCs w:val="32"/>
        </w:rPr>
        <w:t>和新型研发机构</w:t>
      </w:r>
      <w:r>
        <w:rPr>
          <w:rFonts w:hint="eastAsia" w:ascii="仿宋_GB2312" w:eastAsia="仿宋_GB2312"/>
          <w:sz w:val="32"/>
          <w:szCs w:val="32"/>
        </w:rPr>
        <w:t>。可分为两种类型：一是企业类，主要依托企业建设，以本企业为服务对象，提供技术发展战略制定、技术研发支撑、技术交流与合作、技术人才培养等服务；二是非企业类，主要依托高校、科研院所和新型研发机构建设，为相关行业提供产业共性技术攻关、核心装备研制、标准制订、工程技术人才培训等公共服务。</w:t>
      </w:r>
    </w:p>
    <w:p>
      <w:pPr>
        <w:pStyle w:val="9"/>
        <w:spacing w:before="0" w:after="0" w:line="500" w:lineRule="exact"/>
        <w:ind w:firstLine="630"/>
        <w:jc w:val="both"/>
        <w:rPr>
          <w:rFonts w:ascii="仿宋_GB2312" w:eastAsia="仿宋_GB2312"/>
          <w:color w:val="000000"/>
          <w:sz w:val="32"/>
          <w:szCs w:val="32"/>
        </w:rPr>
      </w:pPr>
      <w:r>
        <w:rPr>
          <w:rStyle w:val="10"/>
          <w:rFonts w:hint="eastAsia" w:ascii="仿宋_GB2312" w:eastAsia="仿宋_GB2312"/>
          <w:b w:val="0"/>
          <w:color w:val="000000"/>
          <w:sz w:val="32"/>
          <w:szCs w:val="32"/>
        </w:rPr>
        <w:t>第五条</w:t>
      </w:r>
      <w:r>
        <w:rPr>
          <w:rFonts w:hint="eastAsia" w:ascii="仿宋_GB2312" w:eastAsia="仿宋_GB2312"/>
          <w:color w:val="000000"/>
          <w:sz w:val="32"/>
          <w:szCs w:val="32"/>
        </w:rPr>
        <w:t xml:space="preserve"> 根据功能定位的不同，技术创新中心主要任务可以分为：</w:t>
      </w:r>
    </w:p>
    <w:p>
      <w:pPr>
        <w:pStyle w:val="9"/>
        <w:spacing w:before="0" w:after="0" w:line="500" w:lineRule="exact"/>
        <w:ind w:firstLine="630"/>
        <w:jc w:val="both"/>
        <w:rPr>
          <w:rFonts w:ascii="仿宋_GB2312" w:eastAsia="仿宋_GB2312"/>
          <w:color w:val="000000"/>
          <w:sz w:val="32"/>
          <w:szCs w:val="32"/>
        </w:rPr>
      </w:pPr>
      <w:r>
        <w:rPr>
          <w:rFonts w:hint="eastAsia" w:ascii="仿宋_GB2312" w:eastAsia="仿宋_GB2312"/>
          <w:color w:val="000000"/>
          <w:sz w:val="32"/>
          <w:szCs w:val="32"/>
        </w:rPr>
        <w:t>（一）企业类：</w:t>
      </w:r>
    </w:p>
    <w:p>
      <w:pPr>
        <w:pStyle w:val="9"/>
        <w:spacing w:before="0" w:after="0" w:line="500" w:lineRule="exact"/>
        <w:ind w:firstLine="630"/>
        <w:jc w:val="both"/>
        <w:rPr>
          <w:rFonts w:ascii="仿宋_GB2312" w:eastAsia="仿宋_GB2312"/>
          <w:color w:val="000000"/>
          <w:sz w:val="32"/>
          <w:szCs w:val="32"/>
        </w:rPr>
      </w:pPr>
      <w:r>
        <w:rPr>
          <w:rFonts w:hint="eastAsia" w:ascii="仿宋_GB2312" w:eastAsia="仿宋_GB2312"/>
          <w:color w:val="000000"/>
          <w:sz w:val="32"/>
          <w:szCs w:val="32"/>
        </w:rPr>
        <w:t>1.参与制定和执行本单位技术发展战略和技术创新、技术引进、技术开发规划和计划，建立完善研究开发和知识产权制度。</w:t>
      </w:r>
    </w:p>
    <w:p>
      <w:pPr>
        <w:pStyle w:val="9"/>
        <w:spacing w:before="0" w:after="0" w:line="500" w:lineRule="exact"/>
        <w:ind w:firstLine="630"/>
        <w:jc w:val="both"/>
        <w:rPr>
          <w:rFonts w:ascii="仿宋_GB2312" w:eastAsia="仿宋_GB2312"/>
          <w:color w:val="000000"/>
          <w:sz w:val="32"/>
          <w:szCs w:val="32"/>
        </w:rPr>
      </w:pPr>
      <w:r>
        <w:rPr>
          <w:rFonts w:hint="eastAsia" w:ascii="仿宋_GB2312" w:eastAsia="仿宋_GB2312"/>
          <w:color w:val="000000"/>
          <w:sz w:val="32"/>
          <w:szCs w:val="32"/>
        </w:rPr>
        <w:t>2.对科研成果进行系统化、配套化和工程化研究开发，为企业规模生产提供成熟配套的技术工艺、技术装备和技术标准，不断推出技术含量高、经济效益好的系列新产品，为企业发展提供技术支撑。</w:t>
      </w:r>
    </w:p>
    <w:p>
      <w:pPr>
        <w:pStyle w:val="9"/>
        <w:spacing w:before="0" w:after="0" w:line="500" w:lineRule="exact"/>
        <w:ind w:firstLine="630"/>
        <w:jc w:val="both"/>
        <w:rPr>
          <w:rFonts w:ascii="仿宋_GB2312" w:eastAsia="仿宋_GB2312"/>
          <w:color w:val="000000"/>
          <w:sz w:val="32"/>
          <w:szCs w:val="32"/>
        </w:rPr>
      </w:pPr>
      <w:r>
        <w:rPr>
          <w:rFonts w:hint="eastAsia" w:ascii="仿宋_GB2312" w:eastAsia="仿宋_GB2312"/>
          <w:color w:val="000000"/>
          <w:sz w:val="32"/>
          <w:szCs w:val="32"/>
        </w:rPr>
        <w:t>3.开展多层次、多形式、多领域的国内外技术交流与合作。注重产学研相结合，与高校和科研院所建立长期、稳定的合作关系。</w:t>
      </w:r>
    </w:p>
    <w:p>
      <w:pPr>
        <w:pStyle w:val="9"/>
        <w:spacing w:before="0" w:after="0" w:line="500" w:lineRule="exact"/>
        <w:ind w:firstLine="630"/>
        <w:jc w:val="both"/>
        <w:rPr>
          <w:rFonts w:ascii="仿宋_GB2312" w:eastAsia="仿宋_GB2312"/>
          <w:color w:val="000000"/>
          <w:sz w:val="32"/>
          <w:szCs w:val="32"/>
        </w:rPr>
      </w:pPr>
      <w:r>
        <w:rPr>
          <w:rFonts w:hint="eastAsia" w:ascii="仿宋_GB2312" w:eastAsia="仿宋_GB2312"/>
          <w:color w:val="000000"/>
          <w:sz w:val="32"/>
          <w:szCs w:val="32"/>
        </w:rPr>
        <w:t>4.组织工程技术人才培训，建立有效的人才激励机制和分配机制，吸引人才以各种形式为本单位服务。</w:t>
      </w:r>
    </w:p>
    <w:p>
      <w:pPr>
        <w:pStyle w:val="9"/>
        <w:spacing w:before="0" w:after="0" w:line="500" w:lineRule="exact"/>
        <w:jc w:val="both"/>
        <w:rPr>
          <w:rFonts w:ascii="仿宋_GB2312" w:eastAsia="仿宋_GB2312"/>
          <w:color w:val="000000"/>
          <w:sz w:val="32"/>
          <w:szCs w:val="32"/>
        </w:rPr>
      </w:pPr>
      <w:r>
        <w:rPr>
          <w:rFonts w:hint="eastAsia" w:ascii="仿宋_GB2312" w:eastAsia="仿宋_GB2312"/>
          <w:color w:val="000000"/>
          <w:sz w:val="32"/>
          <w:szCs w:val="32"/>
        </w:rPr>
        <w:t xml:space="preserve">    （二）非企业类：</w:t>
      </w:r>
    </w:p>
    <w:p>
      <w:pPr>
        <w:pStyle w:val="9"/>
        <w:spacing w:before="0" w:after="0" w:line="500" w:lineRule="exact"/>
        <w:ind w:firstLine="630"/>
        <w:jc w:val="both"/>
        <w:rPr>
          <w:rFonts w:ascii="仿宋_GB2312" w:eastAsia="仿宋_GB2312"/>
          <w:color w:val="000000"/>
          <w:sz w:val="32"/>
          <w:szCs w:val="32"/>
        </w:rPr>
      </w:pPr>
      <w:r>
        <w:rPr>
          <w:rFonts w:hint="eastAsia" w:ascii="仿宋_GB2312" w:eastAsia="仿宋_GB2312"/>
          <w:color w:val="000000"/>
          <w:sz w:val="32"/>
          <w:szCs w:val="32"/>
        </w:rPr>
        <w:t>1.根据我省经济发展和市场需要，针对行业或区域发展的重大技术问题进行攻关，持续不断地创造新成果，开发新技术，并进行系统化、配套化和工程化研究，提供成熟配套的工艺、技术、装备，推动相关行业、领域的科技进步和新兴产业的发展。</w:t>
      </w:r>
    </w:p>
    <w:p>
      <w:pPr>
        <w:pStyle w:val="9"/>
        <w:spacing w:before="0" w:after="0" w:line="500" w:lineRule="exact"/>
        <w:ind w:firstLine="630"/>
        <w:jc w:val="both"/>
        <w:rPr>
          <w:rFonts w:ascii="仿宋_GB2312" w:eastAsia="仿宋_GB2312"/>
          <w:color w:val="000000"/>
          <w:sz w:val="32"/>
          <w:szCs w:val="32"/>
        </w:rPr>
      </w:pPr>
      <w:r>
        <w:rPr>
          <w:rFonts w:hint="eastAsia" w:ascii="仿宋_GB2312" w:eastAsia="仿宋_GB2312"/>
          <w:color w:val="000000"/>
          <w:sz w:val="32"/>
          <w:szCs w:val="32"/>
        </w:rPr>
        <w:t>2.实行开放服务，承担国家和地方有关部门、企业、高等院校和科研院所委托的工程技术研究、设计和试验任务，参与技术和重大装备的引进、消化、吸收和再创新，并为重大科技成果转化和产业化提供技术咨询服务。</w:t>
      </w:r>
    </w:p>
    <w:p>
      <w:pPr>
        <w:pStyle w:val="9"/>
        <w:spacing w:before="0" w:after="0" w:line="500" w:lineRule="exact"/>
        <w:ind w:firstLine="630"/>
        <w:jc w:val="both"/>
        <w:rPr>
          <w:rFonts w:ascii="仿宋_GB2312" w:eastAsia="仿宋_GB2312"/>
          <w:color w:val="000000"/>
          <w:sz w:val="32"/>
          <w:szCs w:val="32"/>
        </w:rPr>
      </w:pPr>
      <w:r>
        <w:rPr>
          <w:rFonts w:hint="eastAsia" w:ascii="仿宋_GB2312" w:eastAsia="仿宋_GB2312"/>
          <w:color w:val="000000"/>
          <w:sz w:val="32"/>
          <w:szCs w:val="32"/>
        </w:rPr>
        <w:t>3.为本行业相关企业、</w:t>
      </w:r>
      <w:r>
        <w:rPr>
          <w:rFonts w:hint="eastAsia" w:ascii="仿宋_GB2312" w:eastAsia="仿宋_GB2312"/>
          <w:sz w:val="32"/>
          <w:szCs w:val="32"/>
        </w:rPr>
        <w:t>科研单位提</w:t>
      </w:r>
      <w:r>
        <w:rPr>
          <w:rFonts w:hint="eastAsia" w:ascii="仿宋_GB2312" w:eastAsia="仿宋_GB2312"/>
          <w:color w:val="000000"/>
          <w:sz w:val="32"/>
          <w:szCs w:val="32"/>
        </w:rPr>
        <w:t>供技术咨询、产品检测、质量监督及技术信息等服务，参与国家和行业技术标准的研究制订，提升行业、领域的科技竞争力。</w:t>
      </w:r>
    </w:p>
    <w:p>
      <w:pPr>
        <w:pStyle w:val="9"/>
        <w:spacing w:before="0" w:after="0" w:line="500" w:lineRule="exact"/>
        <w:ind w:firstLine="630"/>
        <w:jc w:val="both"/>
        <w:rPr>
          <w:rFonts w:ascii="仿宋_GB2312" w:eastAsia="仿宋_GB2312"/>
          <w:color w:val="000000"/>
          <w:sz w:val="32"/>
          <w:szCs w:val="32"/>
        </w:rPr>
      </w:pPr>
      <w:r>
        <w:rPr>
          <w:rFonts w:hint="eastAsia" w:ascii="仿宋_GB2312" w:eastAsia="仿宋_GB2312"/>
          <w:color w:val="000000"/>
          <w:sz w:val="32"/>
          <w:szCs w:val="32"/>
        </w:rPr>
        <w:t>4.培养、聚集相关专业的高层次工程技术人才和管理人才，为相关行业、企业提供工程技术人才培训。</w:t>
      </w:r>
    </w:p>
    <w:p>
      <w:pPr>
        <w:pStyle w:val="9"/>
        <w:spacing w:before="0" w:after="0" w:line="500" w:lineRule="exact"/>
        <w:ind w:firstLine="630"/>
        <w:jc w:val="both"/>
        <w:rPr>
          <w:rFonts w:ascii="仿宋_GB2312" w:eastAsia="仿宋_GB2312"/>
          <w:color w:val="000000"/>
          <w:sz w:val="32"/>
          <w:szCs w:val="32"/>
        </w:rPr>
      </w:pPr>
      <w:r>
        <w:rPr>
          <w:rStyle w:val="10"/>
          <w:rFonts w:hint="eastAsia" w:ascii="仿宋_GB2312" w:eastAsia="仿宋_GB2312"/>
          <w:b w:val="0"/>
          <w:color w:val="000000"/>
          <w:sz w:val="32"/>
          <w:szCs w:val="32"/>
        </w:rPr>
        <w:t xml:space="preserve">第六条 </w:t>
      </w:r>
      <w:r>
        <w:rPr>
          <w:rFonts w:hint="eastAsia" w:ascii="仿宋_GB2312" w:eastAsia="仿宋_GB2312"/>
          <w:sz w:val="32"/>
          <w:szCs w:val="32"/>
        </w:rPr>
        <w:t>黑龙江省科学技术厅（以下简称省科技厅）</w:t>
      </w:r>
      <w:r>
        <w:rPr>
          <w:rFonts w:hint="eastAsia" w:ascii="仿宋_GB2312" w:eastAsia="仿宋_GB2312"/>
          <w:color w:val="000000"/>
          <w:sz w:val="32"/>
          <w:szCs w:val="32"/>
        </w:rPr>
        <w:t>负责推进技术创新中心的建设，组织技术创新中心的评估和监督管理工作。</w:t>
      </w:r>
    </w:p>
    <w:p>
      <w:pPr>
        <w:widowControl/>
        <w:spacing w:line="500" w:lineRule="exact"/>
        <w:ind w:firstLine="640" w:firstLineChars="200"/>
        <w:rPr>
          <w:rFonts w:ascii="仿宋_GB2312" w:eastAsia="仿宋_GB2312"/>
          <w:color w:val="000000"/>
          <w:sz w:val="32"/>
          <w:szCs w:val="32"/>
        </w:rPr>
      </w:pPr>
      <w:r>
        <w:rPr>
          <w:rStyle w:val="10"/>
          <w:rFonts w:hint="eastAsia" w:ascii="仿宋_GB2312" w:eastAsia="仿宋_GB2312"/>
          <w:b w:val="0"/>
          <w:color w:val="000000"/>
          <w:sz w:val="32"/>
          <w:szCs w:val="32"/>
        </w:rPr>
        <w:t xml:space="preserve">第七条 </w:t>
      </w:r>
      <w:r>
        <w:rPr>
          <w:rFonts w:hint="eastAsia" w:ascii="仿宋_GB2312" w:hAnsi="宋体" w:eastAsia="仿宋_GB2312" w:cs="宋体"/>
          <w:color w:val="000000"/>
          <w:kern w:val="0"/>
          <w:sz w:val="32"/>
          <w:szCs w:val="32"/>
        </w:rPr>
        <w:t>省科技厅负责建设“黑龙江省科技创新基地信息服务平台”（以下简称“服务平台”）和“黑龙江省技术创新中心信息库”(以下简称“信息库”），全省技术创新中心建设依托单位按照自愿原则到服务平台填报技术创新中心相关信息，符合省级技术创新中心条件，经公示无异议的，纳入信息库。</w:t>
      </w:r>
    </w:p>
    <w:p>
      <w:pPr>
        <w:pStyle w:val="11"/>
        <w:spacing w:line="500" w:lineRule="exact"/>
        <w:ind w:firstLine="640"/>
        <w:rPr>
          <w:rFonts w:ascii="仿宋_GB2312" w:eastAsia="仿宋_GB2312"/>
          <w:color w:val="000000"/>
          <w:sz w:val="32"/>
          <w:szCs w:val="32"/>
        </w:rPr>
      </w:pPr>
      <w:r>
        <w:rPr>
          <w:rStyle w:val="10"/>
          <w:rFonts w:hint="eastAsia" w:ascii="仿宋_GB2312" w:eastAsia="仿宋_GB2312"/>
          <w:b w:val="0"/>
          <w:color w:val="000000"/>
          <w:sz w:val="32"/>
          <w:szCs w:val="32"/>
        </w:rPr>
        <w:t xml:space="preserve">第八条 </w:t>
      </w:r>
      <w:r>
        <w:rPr>
          <w:rFonts w:hint="eastAsia" w:ascii="仿宋_GB2312" w:eastAsia="仿宋_GB2312"/>
          <w:color w:val="000000"/>
          <w:sz w:val="32"/>
          <w:szCs w:val="32"/>
        </w:rPr>
        <w:t>技术创新中心在依托单位领导下，实行主任负责制。技术创新中心需设立由本领域专家、依托单位技术骨干组成的技术创新委员会或专家咨询委员会。</w:t>
      </w:r>
    </w:p>
    <w:p>
      <w:pPr>
        <w:pStyle w:val="9"/>
        <w:numPr>
          <w:ilvl w:val="0"/>
          <w:numId w:val="1"/>
        </w:numPr>
        <w:spacing w:before="0" w:after="0" w:line="500" w:lineRule="exact"/>
        <w:jc w:val="center"/>
        <w:rPr>
          <w:rStyle w:val="10"/>
          <w:rFonts w:ascii="黑体" w:hAnsi="黑体" w:eastAsia="黑体"/>
          <w:b w:val="0"/>
          <w:color w:val="000000"/>
          <w:sz w:val="32"/>
          <w:szCs w:val="32"/>
        </w:rPr>
      </w:pPr>
      <w:r>
        <w:rPr>
          <w:rStyle w:val="10"/>
          <w:rFonts w:hint="eastAsia" w:ascii="黑体" w:hAnsi="黑体" w:eastAsia="黑体"/>
          <w:b w:val="0"/>
          <w:color w:val="000000"/>
          <w:sz w:val="32"/>
          <w:szCs w:val="32"/>
        </w:rPr>
        <w:t>入库条件及程序</w:t>
      </w:r>
    </w:p>
    <w:p>
      <w:pPr>
        <w:pStyle w:val="9"/>
        <w:spacing w:before="0" w:after="0" w:line="500" w:lineRule="exact"/>
        <w:ind w:firstLine="630"/>
        <w:jc w:val="both"/>
        <w:rPr>
          <w:rFonts w:ascii="仿宋_GB2312" w:eastAsia="仿宋_GB2312"/>
          <w:sz w:val="32"/>
          <w:szCs w:val="32"/>
        </w:rPr>
      </w:pPr>
      <w:r>
        <w:rPr>
          <w:rStyle w:val="10"/>
          <w:rFonts w:hint="eastAsia" w:ascii="仿宋_GB2312" w:eastAsia="仿宋_GB2312"/>
          <w:b w:val="0"/>
          <w:color w:val="000000"/>
          <w:sz w:val="32"/>
          <w:szCs w:val="32"/>
        </w:rPr>
        <w:t>第九条</w:t>
      </w:r>
      <w:r>
        <w:rPr>
          <w:rFonts w:hint="eastAsia" w:ascii="仿宋_GB2312" w:eastAsia="仿宋_GB2312"/>
          <w:color w:val="000000"/>
          <w:sz w:val="32"/>
          <w:szCs w:val="32"/>
        </w:rPr>
        <w:t xml:space="preserve"> 申请纳入信息库的技术创新中心依托单位应具备下列条件：</w:t>
      </w:r>
    </w:p>
    <w:p>
      <w:pPr>
        <w:pStyle w:val="9"/>
        <w:spacing w:before="0" w:after="0" w:line="500" w:lineRule="exact"/>
        <w:jc w:val="both"/>
        <w:rPr>
          <w:rFonts w:ascii="仿宋_GB2312" w:eastAsia="仿宋_GB2312"/>
          <w:color w:val="000000"/>
          <w:sz w:val="32"/>
          <w:szCs w:val="32"/>
        </w:rPr>
      </w:pPr>
      <w:r>
        <w:rPr>
          <w:rFonts w:hint="eastAsia" w:ascii="仿宋_GB2312" w:eastAsia="仿宋_GB2312"/>
          <w:color w:val="000000"/>
          <w:sz w:val="32"/>
          <w:szCs w:val="32"/>
        </w:rPr>
        <w:t xml:space="preserve">    （一）基本条件：</w:t>
      </w:r>
    </w:p>
    <w:p>
      <w:pPr>
        <w:pStyle w:val="9"/>
        <w:spacing w:before="0" w:after="0" w:line="500" w:lineRule="exact"/>
        <w:ind w:firstLine="630"/>
        <w:jc w:val="both"/>
        <w:rPr>
          <w:rFonts w:ascii="仿宋_GB2312" w:eastAsia="仿宋_GB2312"/>
          <w:color w:val="000000"/>
          <w:sz w:val="32"/>
          <w:szCs w:val="32"/>
        </w:rPr>
      </w:pPr>
      <w:r>
        <w:rPr>
          <w:rFonts w:hint="eastAsia" w:ascii="仿宋_GB2312" w:eastAsia="仿宋_GB2312"/>
          <w:color w:val="000000"/>
          <w:sz w:val="32"/>
          <w:szCs w:val="32"/>
        </w:rPr>
        <w:t>1.在黑龙江省内注册登记的具有独立法人资格的国家级高新技术企业或行业龙头企业、科研院所、高等院校和新型研发机构。</w:t>
      </w:r>
    </w:p>
    <w:p>
      <w:pPr>
        <w:pStyle w:val="9"/>
        <w:spacing w:before="0" w:after="0" w:line="500" w:lineRule="exact"/>
        <w:ind w:firstLine="630"/>
        <w:jc w:val="both"/>
        <w:rPr>
          <w:rFonts w:ascii="仿宋_GB2312" w:eastAsia="仿宋_GB2312"/>
          <w:color w:val="000000"/>
          <w:sz w:val="32"/>
          <w:szCs w:val="32"/>
        </w:rPr>
      </w:pPr>
      <w:r>
        <w:rPr>
          <w:rFonts w:hint="eastAsia" w:ascii="仿宋_GB2312" w:eastAsia="仿宋_GB2312"/>
          <w:color w:val="000000"/>
          <w:sz w:val="32"/>
          <w:szCs w:val="32"/>
        </w:rPr>
        <w:t>2.技术创新能力和水平处于行业引领地位，具有行业公认的技术研发优势、领军人才和团队。组织机构较完善，管理运行机制合理。</w:t>
      </w:r>
    </w:p>
    <w:p>
      <w:pPr>
        <w:pStyle w:val="9"/>
        <w:spacing w:before="0" w:after="0" w:line="500" w:lineRule="exact"/>
        <w:ind w:firstLine="630"/>
        <w:jc w:val="both"/>
        <w:rPr>
          <w:rFonts w:ascii="仿宋_GB2312" w:eastAsia="仿宋_GB2312"/>
          <w:color w:val="000000"/>
          <w:sz w:val="32"/>
          <w:szCs w:val="32"/>
        </w:rPr>
      </w:pPr>
      <w:r>
        <w:rPr>
          <w:rFonts w:hint="eastAsia" w:ascii="仿宋_GB2312" w:eastAsia="仿宋_GB2312"/>
          <w:color w:val="000000"/>
          <w:sz w:val="32"/>
          <w:szCs w:val="32"/>
        </w:rPr>
        <w:t>3.有良好的产学研合作基础，重视科技人员和高技能人才的培养、引进和使用。多个单位联合建设技术创新中心的必须有联合建设协议书，明确牵头依托单位，以及各单位在技术创新中心建设与运行中的权利、义务和责任。入库省级技术创新中心牵头单位不超过两家，其它为共建单位。</w:t>
      </w:r>
    </w:p>
    <w:p>
      <w:pPr>
        <w:pStyle w:val="9"/>
        <w:spacing w:before="0" w:after="0" w:line="500" w:lineRule="exact"/>
        <w:ind w:firstLine="630"/>
        <w:jc w:val="both"/>
        <w:rPr>
          <w:rFonts w:ascii="仿宋_GB2312" w:eastAsia="仿宋_GB2312"/>
          <w:color w:val="000000"/>
          <w:sz w:val="32"/>
          <w:szCs w:val="32"/>
        </w:rPr>
      </w:pPr>
      <w:r>
        <w:rPr>
          <w:rFonts w:hint="eastAsia" w:ascii="仿宋_GB2312" w:eastAsia="仿宋_GB2312"/>
          <w:color w:val="000000"/>
          <w:sz w:val="32"/>
          <w:szCs w:val="32"/>
        </w:rPr>
        <w:t>4.具备工程技术试验条件和基础设施，有必要的检测、分析、测试手段和工艺设备（不包括生产用设备）。</w:t>
      </w:r>
    </w:p>
    <w:p>
      <w:pPr>
        <w:pStyle w:val="9"/>
        <w:spacing w:before="0" w:after="0" w:line="500" w:lineRule="exact"/>
        <w:ind w:firstLine="630"/>
        <w:jc w:val="both"/>
        <w:rPr>
          <w:rFonts w:ascii="仿宋_GB2312" w:eastAsia="仿宋_GB2312"/>
          <w:color w:val="000000"/>
          <w:sz w:val="32"/>
          <w:szCs w:val="32"/>
        </w:rPr>
      </w:pPr>
      <w:r>
        <w:rPr>
          <w:rFonts w:hint="eastAsia" w:ascii="仿宋_GB2312" w:eastAsia="仿宋_GB2312"/>
          <w:color w:val="000000"/>
          <w:sz w:val="32"/>
          <w:szCs w:val="32"/>
        </w:rPr>
        <w:t>（二）分类条件：</w:t>
      </w:r>
    </w:p>
    <w:p>
      <w:pPr>
        <w:pStyle w:val="9"/>
        <w:spacing w:before="0" w:after="0" w:line="500" w:lineRule="exact"/>
        <w:jc w:val="both"/>
        <w:rPr>
          <w:rFonts w:ascii="仿宋_GB2312" w:eastAsia="仿宋_GB2312"/>
          <w:color w:val="000000"/>
          <w:sz w:val="32"/>
          <w:szCs w:val="32"/>
        </w:rPr>
      </w:pPr>
      <w:r>
        <w:rPr>
          <w:rFonts w:hint="eastAsia" w:ascii="仿宋_GB2312" w:eastAsia="仿宋_GB2312"/>
          <w:color w:val="000000"/>
          <w:sz w:val="32"/>
          <w:szCs w:val="32"/>
        </w:rPr>
        <w:t xml:space="preserve">    ——企业类：</w:t>
      </w:r>
    </w:p>
    <w:p>
      <w:pPr>
        <w:pStyle w:val="9"/>
        <w:spacing w:before="0" w:after="0" w:line="500" w:lineRule="exact"/>
        <w:ind w:firstLine="640" w:firstLineChars="200"/>
        <w:jc w:val="both"/>
        <w:rPr>
          <w:rFonts w:ascii="仿宋_GB2312" w:eastAsia="仿宋_GB2312"/>
          <w:color w:val="000000"/>
          <w:sz w:val="32"/>
          <w:szCs w:val="32"/>
        </w:rPr>
      </w:pPr>
      <w:r>
        <w:rPr>
          <w:rFonts w:hint="eastAsia" w:ascii="仿宋_GB2312" w:eastAsia="仿宋_GB2312"/>
          <w:color w:val="000000"/>
          <w:sz w:val="32"/>
          <w:szCs w:val="32"/>
        </w:rPr>
        <w:t>1.企业经营和运行状况良好，能够提供建设技术创新中心需要的主要资金。软件、创意设计及研发服务类等科技型企业可适当降低条件。</w:t>
      </w:r>
    </w:p>
    <w:p>
      <w:pPr>
        <w:pStyle w:val="12"/>
        <w:spacing w:line="500" w:lineRule="exact"/>
        <w:ind w:firstLine="640" w:firstLineChars="200"/>
        <w:jc w:val="both"/>
        <w:rPr>
          <w:rFonts w:ascii="仿宋_GB2312" w:eastAsia="仿宋_GB2312"/>
          <w:color w:val="000000"/>
          <w:sz w:val="32"/>
          <w:szCs w:val="32"/>
          <w:u w:val="single"/>
        </w:rPr>
      </w:pPr>
      <w:r>
        <w:rPr>
          <w:rFonts w:hint="eastAsia" w:ascii="仿宋_GB2312" w:eastAsia="仿宋_GB2312"/>
          <w:color w:val="000000"/>
          <w:sz w:val="32"/>
          <w:szCs w:val="32"/>
        </w:rPr>
        <w:t>2.优先支持企业与高校、科研院所合作共建技术创新中心</w:t>
      </w:r>
      <w:r>
        <w:rPr>
          <w:rFonts w:hint="eastAsia" w:ascii="仿宋_GB2312" w:eastAsia="仿宋_GB2312"/>
          <w:sz w:val="32"/>
          <w:szCs w:val="32"/>
        </w:rPr>
        <w:t>。</w:t>
      </w:r>
      <w:r>
        <w:rPr>
          <w:rFonts w:hint="eastAsia" w:ascii="仿宋_GB2312" w:hAnsi="宋体" w:eastAsia="仿宋_GB2312" w:cs="宋体"/>
          <w:color w:val="000000"/>
          <w:sz w:val="32"/>
          <w:szCs w:val="32"/>
        </w:rPr>
        <w:t>申请纳入信息库的技术创新中心应具有技术人员不少于15人，其中，专职技术人员所占比例不低于50%，中高级职称或硕士学位以上技术人员所占比例不低于50%,聘请相关领域高校、科研院所副高级职称以上技术人员不少于2人。技术创新中心主任应具有较高的技术水平、丰富的工程化实践经验。</w:t>
      </w:r>
    </w:p>
    <w:p>
      <w:pPr>
        <w:pStyle w:val="9"/>
        <w:spacing w:before="0" w:after="0" w:line="500" w:lineRule="exact"/>
        <w:ind w:firstLine="640" w:firstLineChars="200"/>
        <w:jc w:val="both"/>
        <w:rPr>
          <w:rFonts w:ascii="仿宋_GB2312" w:eastAsia="仿宋_GB2312"/>
          <w:color w:val="000000"/>
          <w:sz w:val="32"/>
          <w:szCs w:val="32"/>
        </w:rPr>
      </w:pPr>
      <w:r>
        <w:rPr>
          <w:rFonts w:hint="eastAsia" w:ascii="仿宋_GB2312" w:eastAsia="仿宋_GB2312"/>
          <w:color w:val="000000"/>
          <w:sz w:val="32"/>
          <w:szCs w:val="32"/>
        </w:rPr>
        <w:t>3.企业有持续的研发投入，上年研究开发经费占年销售收入的比例不低于2%，且最低不少于50万元。纳入信息库2年后每年研究开发经费占销售收入的比例不低于3%，且最低不少于80万元。</w:t>
      </w:r>
    </w:p>
    <w:p>
      <w:pPr>
        <w:pStyle w:val="9"/>
        <w:spacing w:before="0" w:after="0" w:line="500" w:lineRule="exact"/>
        <w:ind w:firstLine="640" w:firstLineChars="200"/>
        <w:jc w:val="both"/>
        <w:rPr>
          <w:rFonts w:ascii="仿宋_GB2312" w:eastAsia="仿宋_GB2312"/>
          <w:color w:val="000000"/>
          <w:sz w:val="32"/>
          <w:szCs w:val="32"/>
        </w:rPr>
      </w:pPr>
      <w:r>
        <w:rPr>
          <w:rFonts w:hint="eastAsia" w:ascii="仿宋_GB2312" w:eastAsia="仿宋_GB2312"/>
          <w:color w:val="000000"/>
          <w:sz w:val="32"/>
          <w:szCs w:val="32"/>
        </w:rPr>
        <w:t>4.企业拥有1项及以上中心研发方向相关的I类知识产权（包括发明专利、植物新品种、国家级农作物品种、国家新药、国家一级中药保护品种、集成电路布图设计专利权等），或拥有6项及以上II类知识产权（实用新型专利、外观设计专利、软件著作权等）。</w:t>
      </w:r>
    </w:p>
    <w:p>
      <w:pPr>
        <w:pStyle w:val="12"/>
        <w:spacing w:line="500" w:lineRule="exact"/>
        <w:jc w:val="both"/>
        <w:rPr>
          <w:rFonts w:ascii="仿宋_GB2312" w:eastAsia="仿宋_GB2312"/>
          <w:color w:val="000000"/>
          <w:sz w:val="32"/>
          <w:szCs w:val="32"/>
        </w:rPr>
      </w:pPr>
      <w:r>
        <w:rPr>
          <w:rFonts w:hint="eastAsia" w:ascii="仿宋_GB2312" w:eastAsia="仿宋_GB2312"/>
          <w:color w:val="000000"/>
          <w:sz w:val="32"/>
          <w:szCs w:val="32"/>
        </w:rPr>
        <w:t xml:space="preserve">    5.优先支持高新技术企业或产品、技术水平和综合实力在同行业中名列前茅的行业龙头企业技术创新中心纳入信息库。</w:t>
      </w:r>
    </w:p>
    <w:p>
      <w:pPr>
        <w:pStyle w:val="9"/>
        <w:spacing w:before="0" w:after="0" w:line="500" w:lineRule="exact"/>
        <w:ind w:firstLine="640"/>
        <w:jc w:val="both"/>
        <w:rPr>
          <w:rFonts w:ascii="仿宋_GB2312" w:eastAsia="仿宋_GB2312"/>
          <w:color w:val="000000"/>
          <w:sz w:val="32"/>
          <w:szCs w:val="32"/>
        </w:rPr>
      </w:pPr>
      <w:r>
        <w:rPr>
          <w:rFonts w:hint="eastAsia" w:ascii="仿宋_GB2312" w:eastAsia="仿宋_GB2312"/>
          <w:color w:val="000000"/>
          <w:sz w:val="32"/>
          <w:szCs w:val="32"/>
        </w:rPr>
        <w:t>——非企业类：</w:t>
      </w:r>
    </w:p>
    <w:p>
      <w:pPr>
        <w:pStyle w:val="9"/>
        <w:spacing w:before="0" w:after="0" w:line="500" w:lineRule="exact"/>
        <w:ind w:firstLine="630"/>
        <w:jc w:val="both"/>
        <w:rPr>
          <w:rFonts w:ascii="仿宋_GB2312" w:eastAsia="仿宋_GB2312"/>
          <w:color w:val="000000"/>
          <w:sz w:val="32"/>
          <w:szCs w:val="32"/>
        </w:rPr>
      </w:pPr>
      <w:r>
        <w:rPr>
          <w:rFonts w:hint="eastAsia" w:ascii="仿宋_GB2312" w:eastAsia="仿宋_GB2312"/>
          <w:color w:val="000000"/>
          <w:sz w:val="32"/>
          <w:szCs w:val="32"/>
        </w:rPr>
        <w:t>1.</w:t>
      </w:r>
      <w:r>
        <w:rPr>
          <w:rFonts w:hint="eastAsia" w:ascii="仿宋_GB2312" w:hAnsi="Times New Roman" w:eastAsia="仿宋_GB2312" w:cs="Times New Roman"/>
          <w:color w:val="000000"/>
          <w:sz w:val="32"/>
          <w:szCs w:val="32"/>
        </w:rPr>
        <w:t>优先支持高校、科研院所与企业</w:t>
      </w:r>
      <w:r>
        <w:rPr>
          <w:rFonts w:hint="eastAsia" w:ascii="仿宋_GB2312" w:eastAsia="仿宋_GB2312"/>
          <w:color w:val="000000"/>
          <w:sz w:val="32"/>
          <w:szCs w:val="32"/>
        </w:rPr>
        <w:t>合作共建技术创新中心，支持新型研发机构建立技术创新中心。申请纳入信息库的技术创新中心应具有专职技术人员不少于15人，其中，中高级职称技术人员所占比例不低于50%。技术创新中心主任应是本领域高水平的学术带头人，技术水平高、工程化实践经验丰富，年龄不超过60岁。</w:t>
      </w:r>
    </w:p>
    <w:p>
      <w:pPr>
        <w:pStyle w:val="9"/>
        <w:spacing w:before="0" w:after="0" w:line="500" w:lineRule="exact"/>
        <w:rPr>
          <w:rFonts w:ascii="仿宋_GB2312" w:eastAsia="仿宋_GB2312"/>
          <w:color w:val="000000"/>
          <w:sz w:val="32"/>
          <w:szCs w:val="32"/>
        </w:rPr>
      </w:pPr>
      <w:r>
        <w:rPr>
          <w:rFonts w:hint="eastAsia" w:ascii="仿宋_GB2312" w:eastAsia="仿宋_GB2312"/>
          <w:color w:val="000000"/>
          <w:sz w:val="32"/>
          <w:szCs w:val="32"/>
        </w:rPr>
        <w:t xml:space="preserve">    2.必须能保证落实技术创新中心的建设资金和日常研究开发经费。承担所</w:t>
      </w:r>
      <w:r>
        <w:rPr>
          <w:rFonts w:hint="eastAsia" w:ascii="仿宋_GB2312" w:eastAsia="仿宋_GB2312"/>
          <w:sz w:val="32"/>
          <w:szCs w:val="32"/>
        </w:rPr>
        <w:t>申请</w:t>
      </w:r>
      <w:r>
        <w:rPr>
          <w:rFonts w:hint="eastAsia" w:ascii="仿宋_GB2312" w:eastAsia="仿宋_GB2312"/>
          <w:color w:val="000000"/>
          <w:sz w:val="32"/>
          <w:szCs w:val="32"/>
        </w:rPr>
        <w:t>行业（领域）的在研科研项目不少于3项且此类项目的经费总额不低于200万元。</w:t>
      </w:r>
    </w:p>
    <w:p>
      <w:pPr>
        <w:pStyle w:val="9"/>
        <w:spacing w:before="0" w:after="0" w:line="500" w:lineRule="exact"/>
        <w:ind w:firstLine="720"/>
        <w:rPr>
          <w:rFonts w:ascii="仿宋_GB2312" w:eastAsia="仿宋_GB2312"/>
          <w:color w:val="000000"/>
          <w:sz w:val="32"/>
          <w:szCs w:val="32"/>
          <w:highlight w:val="red"/>
        </w:rPr>
      </w:pPr>
      <w:r>
        <w:rPr>
          <w:rFonts w:hint="eastAsia" w:ascii="仿宋_GB2312" w:eastAsia="仿宋_GB2312"/>
          <w:color w:val="000000"/>
          <w:sz w:val="32"/>
          <w:szCs w:val="32"/>
        </w:rPr>
        <w:t>3.具有为同行业（领域）企业服务的经验，有较好的服务企业或行业的业绩。具有一批可转化的科技成果，所申请技术领域至少已推广转化3项重大技术成果。</w:t>
      </w:r>
    </w:p>
    <w:p>
      <w:pPr>
        <w:pStyle w:val="9"/>
        <w:spacing w:before="0" w:after="0" w:line="500" w:lineRule="exact"/>
        <w:ind w:firstLine="640" w:firstLineChars="200"/>
        <w:jc w:val="both"/>
        <w:rPr>
          <w:rFonts w:ascii="仿宋_GB2312" w:eastAsia="仿宋_GB2312"/>
          <w:color w:val="000000"/>
          <w:sz w:val="32"/>
          <w:szCs w:val="32"/>
        </w:rPr>
      </w:pPr>
      <w:r>
        <w:rPr>
          <w:rFonts w:hint="eastAsia" w:ascii="仿宋_GB2312" w:eastAsia="仿宋_GB2312"/>
          <w:color w:val="000000"/>
          <w:sz w:val="32"/>
          <w:szCs w:val="32"/>
        </w:rPr>
        <w:t>4.应拥有3项及以上中心研发方向相关的I类知识产权（包括发明专利、植物新品种、国家级农作物品种、国家新药、国家一级中药保护品种、集成电路布图设计专利权等），1项I类知识产权可用6项II类知识产权(实用新型专利、外观设计专利、软件著作权等)代替。</w:t>
      </w:r>
    </w:p>
    <w:p>
      <w:pPr>
        <w:pStyle w:val="9"/>
        <w:spacing w:before="0" w:after="0" w:line="500" w:lineRule="exact"/>
        <w:ind w:firstLine="630"/>
        <w:jc w:val="both"/>
        <w:rPr>
          <w:rFonts w:ascii="仿宋_GB2312" w:eastAsia="仿宋_GB2312"/>
          <w:color w:val="000000"/>
          <w:sz w:val="32"/>
          <w:szCs w:val="32"/>
        </w:rPr>
      </w:pPr>
      <w:r>
        <w:rPr>
          <w:rStyle w:val="10"/>
          <w:rFonts w:hint="eastAsia" w:ascii="仿宋_GB2312" w:eastAsia="仿宋_GB2312"/>
          <w:b w:val="0"/>
          <w:color w:val="000000"/>
          <w:sz w:val="32"/>
          <w:szCs w:val="32"/>
        </w:rPr>
        <w:t>第十条</w:t>
      </w:r>
      <w:r>
        <w:rPr>
          <w:rFonts w:hint="eastAsia" w:ascii="仿宋_GB2312" w:eastAsia="仿宋_GB2312"/>
          <w:color w:val="000000"/>
          <w:sz w:val="32"/>
          <w:szCs w:val="32"/>
        </w:rPr>
        <w:t xml:space="preserve"> 凡符合条件的单位均可申请纳入技术创新中心信息库，企业类中心可以针对行业细分领域进行申请，非企业类中心在每个行业不多于两家。</w:t>
      </w:r>
    </w:p>
    <w:p>
      <w:pPr>
        <w:pStyle w:val="9"/>
        <w:spacing w:before="0" w:after="0" w:line="500" w:lineRule="exact"/>
        <w:jc w:val="both"/>
        <w:rPr>
          <w:rFonts w:ascii="仿宋_GB2312" w:eastAsia="仿宋_GB2312"/>
          <w:color w:val="000000"/>
          <w:sz w:val="32"/>
          <w:szCs w:val="32"/>
        </w:rPr>
      </w:pPr>
      <w:r>
        <w:rPr>
          <w:rStyle w:val="10"/>
          <w:rFonts w:hint="eastAsia" w:ascii="仿宋_GB2312" w:eastAsia="仿宋_GB2312"/>
          <w:b w:val="0"/>
          <w:color w:val="000000"/>
          <w:sz w:val="32"/>
          <w:szCs w:val="32"/>
        </w:rPr>
        <w:t xml:space="preserve">    第十一条 </w:t>
      </w:r>
      <w:r>
        <w:rPr>
          <w:rFonts w:hint="eastAsia" w:ascii="仿宋_GB2312" w:eastAsia="仿宋_GB2312"/>
          <w:color w:val="000000"/>
          <w:sz w:val="32"/>
          <w:szCs w:val="32"/>
        </w:rPr>
        <w:t>技术创新中心纳入信息库的程序如下：</w:t>
      </w:r>
    </w:p>
    <w:p>
      <w:pPr>
        <w:pStyle w:val="9"/>
        <w:spacing w:before="0" w:after="0" w:line="500" w:lineRule="exact"/>
        <w:ind w:firstLine="630"/>
        <w:jc w:val="both"/>
        <w:rPr>
          <w:rFonts w:ascii="仿宋_GB2312" w:eastAsia="仿宋_GB2312"/>
          <w:color w:val="000000"/>
          <w:sz w:val="32"/>
          <w:szCs w:val="32"/>
        </w:rPr>
      </w:pPr>
      <w:r>
        <w:rPr>
          <w:rFonts w:hint="eastAsia" w:ascii="仿宋_GB2312" w:eastAsia="仿宋_GB2312"/>
          <w:color w:val="000000"/>
          <w:sz w:val="32"/>
          <w:szCs w:val="32"/>
        </w:rPr>
        <w:t>（一）依托单位通过黑龙江省科技计划管理综合系统服务平台填报技术创新中心相关信息，上传相关佐证材料，通过各市（地）科技行政主管部门和行业主管部门推荐至省科技厅。</w:t>
      </w:r>
    </w:p>
    <w:p>
      <w:pPr>
        <w:pStyle w:val="9"/>
        <w:spacing w:before="0" w:after="0" w:line="500" w:lineRule="exact"/>
        <w:ind w:firstLine="630"/>
        <w:jc w:val="both"/>
        <w:rPr>
          <w:rFonts w:ascii="仿宋_GB2312" w:eastAsia="仿宋_GB2312"/>
          <w:color w:val="000000"/>
          <w:sz w:val="32"/>
          <w:szCs w:val="32"/>
        </w:rPr>
      </w:pPr>
      <w:r>
        <w:rPr>
          <w:rFonts w:hint="eastAsia" w:ascii="仿宋_GB2312" w:eastAsia="仿宋_GB2312"/>
          <w:color w:val="000000"/>
          <w:sz w:val="32"/>
          <w:szCs w:val="32"/>
        </w:rPr>
        <w:t>（二）省科技厅对相关材料进行审查或现场核查，对符合</w:t>
      </w:r>
      <w:r>
        <w:rPr>
          <w:rFonts w:hint="eastAsia" w:ascii="仿宋_GB2312" w:eastAsia="仿宋_GB2312"/>
          <w:sz w:val="32"/>
          <w:szCs w:val="32"/>
        </w:rPr>
        <w:t>条件的进行</w:t>
      </w:r>
      <w:r>
        <w:rPr>
          <w:rFonts w:hint="eastAsia" w:ascii="仿宋_GB2312" w:eastAsia="仿宋_GB2312"/>
          <w:color w:val="000000"/>
          <w:sz w:val="32"/>
          <w:szCs w:val="32"/>
        </w:rPr>
        <w:t>公示，无异议的纳入信息库管理。</w:t>
      </w:r>
    </w:p>
    <w:p>
      <w:pPr>
        <w:pStyle w:val="9"/>
        <w:numPr>
          <w:ilvl w:val="0"/>
          <w:numId w:val="1"/>
        </w:numPr>
        <w:spacing w:before="0" w:after="0" w:line="500" w:lineRule="exact"/>
        <w:jc w:val="center"/>
        <w:rPr>
          <w:rStyle w:val="10"/>
          <w:rFonts w:ascii="黑体" w:hAnsi="黑体" w:eastAsia="黑体"/>
          <w:b w:val="0"/>
          <w:color w:val="000000"/>
          <w:sz w:val="32"/>
          <w:szCs w:val="32"/>
        </w:rPr>
      </w:pPr>
      <w:r>
        <w:rPr>
          <w:rStyle w:val="10"/>
          <w:rFonts w:hint="eastAsia" w:ascii="黑体" w:hAnsi="黑体" w:eastAsia="黑体"/>
          <w:b w:val="0"/>
          <w:color w:val="000000"/>
          <w:sz w:val="32"/>
          <w:szCs w:val="32"/>
        </w:rPr>
        <w:t>建设与管理</w:t>
      </w:r>
    </w:p>
    <w:p>
      <w:pPr>
        <w:pStyle w:val="6"/>
        <w:widowControl/>
        <w:spacing w:beforeAutospacing="0" w:afterAutospacing="0" w:line="500" w:lineRule="exact"/>
        <w:ind w:firstLine="640" w:firstLineChars="200"/>
        <w:jc w:val="both"/>
        <w:rPr>
          <w:rFonts w:ascii="仿宋_GB2312" w:hAnsi="宋体" w:eastAsia="仿宋_GB2312" w:cs="宋体"/>
          <w:color w:val="000000"/>
          <w:sz w:val="32"/>
          <w:szCs w:val="32"/>
        </w:rPr>
      </w:pPr>
      <w:r>
        <w:rPr>
          <w:rFonts w:hint="eastAsia" w:ascii="仿宋_GB2312" w:eastAsia="仿宋_GB2312"/>
          <w:bCs/>
          <w:color w:val="000000"/>
          <w:sz w:val="32"/>
          <w:szCs w:val="32"/>
        </w:rPr>
        <w:t xml:space="preserve">第十二条 </w:t>
      </w:r>
      <w:r>
        <w:rPr>
          <w:rFonts w:hint="eastAsia" w:ascii="仿宋_GB2312" w:eastAsia="仿宋_GB2312"/>
          <w:color w:val="000000"/>
          <w:sz w:val="32"/>
          <w:szCs w:val="32"/>
        </w:rPr>
        <w:t>支持有条件的</w:t>
      </w:r>
      <w:r>
        <w:rPr>
          <w:rFonts w:hint="eastAsia" w:ascii="仿宋_GB2312" w:hAnsi="宋体" w:eastAsia="仿宋_GB2312" w:cs="宋体"/>
          <w:color w:val="000000"/>
          <w:sz w:val="32"/>
          <w:szCs w:val="32"/>
        </w:rPr>
        <w:t>省技术创新中心注册独立法人实体，探索新型研发机构管理模式和运行机制。前期暂不具备注册法人实体条件的，纳入信息库后准予探索实行人、财、物相对独立的管理运行机制。</w:t>
      </w:r>
    </w:p>
    <w:p>
      <w:pPr>
        <w:pStyle w:val="9"/>
        <w:spacing w:before="0" w:after="0" w:line="500" w:lineRule="exact"/>
        <w:ind w:firstLine="630"/>
        <w:jc w:val="both"/>
        <w:rPr>
          <w:rFonts w:ascii="仿宋_GB2312" w:eastAsia="仿宋_GB2312"/>
          <w:sz w:val="32"/>
          <w:szCs w:val="32"/>
        </w:rPr>
      </w:pPr>
      <w:r>
        <w:rPr>
          <w:rFonts w:hint="eastAsia" w:ascii="仿宋_GB2312" w:eastAsia="仿宋_GB2312"/>
          <w:bCs/>
          <w:sz w:val="32"/>
          <w:szCs w:val="32"/>
        </w:rPr>
        <w:t xml:space="preserve">第十三条 </w:t>
      </w:r>
      <w:r>
        <w:rPr>
          <w:rFonts w:hint="eastAsia" w:ascii="仿宋_GB2312" w:eastAsia="仿宋_GB2312"/>
          <w:sz w:val="32"/>
          <w:szCs w:val="32"/>
        </w:rPr>
        <w:t>技术创新中心负责人变更、依托单位变更、更名、撤销等重大事项，应及时通过服务平台向省科技厅提出更改申</w:t>
      </w:r>
      <w:r>
        <w:rPr>
          <w:rFonts w:hint="eastAsia" w:ascii="仿宋_GB2312" w:eastAsia="仿宋_GB2312"/>
          <w:color w:val="000000"/>
          <w:sz w:val="32"/>
          <w:szCs w:val="32"/>
        </w:rPr>
        <w:t>请，经省科技厅核准后实施。</w:t>
      </w:r>
      <w:r>
        <w:rPr>
          <w:rFonts w:hint="eastAsia" w:ascii="仿宋_GB2312" w:eastAsia="仿宋_GB2312"/>
          <w:color w:val="000000"/>
          <w:sz w:val="32"/>
          <w:szCs w:val="32"/>
        </w:rPr>
        <w:br w:type="textWrapping"/>
      </w:r>
      <w:r>
        <w:rPr>
          <w:rFonts w:hint="eastAsia" w:ascii="仿宋_GB2312" w:eastAsia="仿宋_GB2312"/>
          <w:bCs/>
          <w:sz w:val="32"/>
          <w:szCs w:val="32"/>
        </w:rPr>
        <w:t xml:space="preserve">    第十四条 </w:t>
      </w:r>
      <w:r>
        <w:rPr>
          <w:rFonts w:hint="eastAsia" w:ascii="仿宋_GB2312" w:eastAsia="仿宋_GB2312"/>
          <w:color w:val="000000"/>
          <w:sz w:val="32"/>
          <w:szCs w:val="32"/>
        </w:rPr>
        <w:t>技术创新中心的运行，要充分利用依托单位现有的基础和条件。落实申请纳入信息库材料中所承诺的运行经费投入，运行资金可实行多元化融资，确保创新中心顺利运行。</w:t>
      </w:r>
    </w:p>
    <w:p>
      <w:pPr>
        <w:pStyle w:val="9"/>
        <w:spacing w:before="0" w:after="0" w:line="500" w:lineRule="exact"/>
        <w:ind w:firstLine="645"/>
        <w:jc w:val="both"/>
        <w:rPr>
          <w:rFonts w:hint="eastAsia" w:ascii="仿宋_GB2312" w:eastAsia="仿宋_GB2312"/>
          <w:color w:val="000000"/>
          <w:sz w:val="32"/>
          <w:szCs w:val="32"/>
        </w:rPr>
      </w:pPr>
      <w:r>
        <w:rPr>
          <w:rStyle w:val="10"/>
          <w:rFonts w:hint="eastAsia" w:ascii="仿宋_GB2312" w:eastAsia="仿宋_GB2312"/>
          <w:b w:val="0"/>
          <w:color w:val="000000"/>
          <w:sz w:val="32"/>
          <w:szCs w:val="32"/>
        </w:rPr>
        <w:t>第十五条</w:t>
      </w:r>
      <w:r>
        <w:rPr>
          <w:rFonts w:hint="eastAsia" w:ascii="仿宋_GB2312" w:eastAsia="仿宋_GB2312"/>
          <w:color w:val="000000"/>
          <w:sz w:val="32"/>
          <w:szCs w:val="32"/>
        </w:rPr>
        <w:t xml:space="preserve"> 鼓励技术创新中心建立健全创新激励机制和分配机制，采用科技成果入股、科技成果收益分成、科技成果折股等激励方式，对做出突出贡献的科技人员和主要经营管理人员进行奖励。</w:t>
      </w:r>
    </w:p>
    <w:p>
      <w:pPr>
        <w:pStyle w:val="9"/>
        <w:spacing w:before="0" w:after="0" w:line="500" w:lineRule="exact"/>
        <w:ind w:firstLine="645"/>
        <w:jc w:val="both"/>
        <w:rPr>
          <w:rFonts w:ascii="仿宋_GB2312" w:eastAsia="仿宋_GB2312"/>
          <w:color w:val="000000"/>
          <w:sz w:val="32"/>
          <w:szCs w:val="32"/>
        </w:rPr>
      </w:pPr>
      <w:r>
        <w:rPr>
          <w:rStyle w:val="10"/>
          <w:rFonts w:hint="eastAsia" w:ascii="仿宋_GB2312" w:eastAsia="仿宋_GB2312"/>
          <w:b w:val="0"/>
          <w:color w:val="000000"/>
          <w:sz w:val="32"/>
          <w:szCs w:val="32"/>
        </w:rPr>
        <w:t xml:space="preserve">第十六条 </w:t>
      </w:r>
      <w:r>
        <w:rPr>
          <w:rFonts w:hint="eastAsia" w:ascii="仿宋_GB2312" w:eastAsia="仿宋_GB2312"/>
          <w:color w:val="000000"/>
          <w:sz w:val="32"/>
          <w:szCs w:val="32"/>
        </w:rPr>
        <w:t>技术创新中心要建立健全内部管理规章制度，积极创新管理体制和运行机制。应加强知识产权管理，建立和完善知识产权保护制度，合法使用知识产权。</w:t>
      </w:r>
    </w:p>
    <w:p>
      <w:pPr>
        <w:pStyle w:val="9"/>
        <w:numPr>
          <w:ilvl w:val="0"/>
          <w:numId w:val="1"/>
        </w:numPr>
        <w:spacing w:before="0" w:after="0" w:line="500" w:lineRule="exact"/>
        <w:jc w:val="center"/>
        <w:rPr>
          <w:rStyle w:val="10"/>
          <w:rFonts w:ascii="黑体" w:hAnsi="黑体" w:eastAsia="黑体"/>
          <w:b w:val="0"/>
          <w:color w:val="000000"/>
          <w:sz w:val="32"/>
          <w:szCs w:val="32"/>
        </w:rPr>
      </w:pPr>
      <w:r>
        <w:rPr>
          <w:rStyle w:val="10"/>
          <w:rFonts w:hint="eastAsia" w:ascii="黑体" w:hAnsi="黑体" w:eastAsia="黑体"/>
          <w:b w:val="0"/>
          <w:color w:val="000000"/>
          <w:sz w:val="32"/>
          <w:szCs w:val="32"/>
        </w:rPr>
        <w:t>考核与评估</w:t>
      </w:r>
    </w:p>
    <w:p>
      <w:pPr>
        <w:pStyle w:val="9"/>
        <w:spacing w:before="0" w:after="0" w:line="500" w:lineRule="exact"/>
        <w:ind w:firstLine="642"/>
        <w:jc w:val="both"/>
        <w:rPr>
          <w:rFonts w:ascii="仿宋_GB2312" w:eastAsia="仿宋_GB2312"/>
          <w:sz w:val="32"/>
          <w:szCs w:val="32"/>
        </w:rPr>
      </w:pPr>
      <w:r>
        <w:rPr>
          <w:rStyle w:val="10"/>
          <w:rFonts w:hint="eastAsia" w:ascii="仿宋_GB2312" w:eastAsia="仿宋_GB2312"/>
          <w:b w:val="0"/>
          <w:color w:val="000000"/>
          <w:sz w:val="32"/>
          <w:szCs w:val="32"/>
        </w:rPr>
        <w:t xml:space="preserve">第十七条 </w:t>
      </w:r>
      <w:r>
        <w:rPr>
          <w:rFonts w:hint="eastAsia" w:ascii="仿宋_GB2312" w:eastAsia="仿宋_GB2312"/>
          <w:color w:val="000000"/>
          <w:sz w:val="32"/>
          <w:szCs w:val="32"/>
        </w:rPr>
        <w:t>技术创新中心自纳入信息库起，须于每年十二月在服务平台递交年度运行情况报告。省科技厅</w:t>
      </w:r>
      <w:r>
        <w:rPr>
          <w:rFonts w:hint="eastAsia" w:ascii="仿宋_GB2312" w:eastAsia="仿宋_GB2312"/>
          <w:sz w:val="32"/>
          <w:szCs w:val="32"/>
        </w:rPr>
        <w:t>对技术创新中心进行定期评估，对技术创新中心的整体运行状况进行综合评价。根据定期评估成绩，结合年度运行报告情况，确定评估结果并予以公布。</w:t>
      </w:r>
    </w:p>
    <w:p>
      <w:pPr>
        <w:pStyle w:val="9"/>
        <w:spacing w:before="0" w:after="0" w:line="500" w:lineRule="exact"/>
        <w:ind w:firstLine="645"/>
        <w:jc w:val="both"/>
        <w:rPr>
          <w:rFonts w:ascii="仿宋_GB2312" w:eastAsia="仿宋_GB2312"/>
          <w:color w:val="000000"/>
          <w:sz w:val="32"/>
          <w:szCs w:val="32"/>
        </w:rPr>
      </w:pPr>
      <w:r>
        <w:rPr>
          <w:rStyle w:val="10"/>
          <w:rFonts w:hint="eastAsia" w:ascii="仿宋_GB2312" w:eastAsia="仿宋_GB2312"/>
          <w:b w:val="0"/>
          <w:color w:val="000000"/>
          <w:sz w:val="32"/>
          <w:szCs w:val="32"/>
        </w:rPr>
        <w:t xml:space="preserve">第十八条 </w:t>
      </w:r>
      <w:r>
        <w:rPr>
          <w:rFonts w:hint="eastAsia" w:ascii="仿宋_GB2312" w:eastAsia="仿宋_GB2312"/>
          <w:color w:val="000000"/>
          <w:sz w:val="32"/>
          <w:szCs w:val="32"/>
        </w:rPr>
        <w:t>对获得专利数量较多、成果转化及产业化做出突出贡献，并产生显著经济和社会效益的优秀技术创新中心，</w:t>
      </w:r>
      <w:r>
        <w:rPr>
          <w:rFonts w:hint="eastAsia" w:ascii="仿宋_GB2312" w:eastAsia="仿宋_GB2312"/>
          <w:sz w:val="32"/>
          <w:szCs w:val="32"/>
        </w:rPr>
        <w:t>择优</w:t>
      </w:r>
      <w:r>
        <w:rPr>
          <w:rFonts w:hint="eastAsia" w:ascii="仿宋_GB2312" w:eastAsia="仿宋_GB2312"/>
          <w:color w:val="000000"/>
          <w:sz w:val="32"/>
          <w:szCs w:val="32"/>
        </w:rPr>
        <w:t>给予后补助支持，并</w:t>
      </w:r>
      <w:r>
        <w:rPr>
          <w:rFonts w:hint="eastAsia" w:ascii="仿宋_GB2312" w:eastAsia="仿宋_GB2312"/>
          <w:sz w:val="32"/>
          <w:szCs w:val="32"/>
        </w:rPr>
        <w:t>在申报省级各类科技计划项目时优先支持</w:t>
      </w:r>
      <w:r>
        <w:rPr>
          <w:rFonts w:hint="eastAsia" w:ascii="仿宋_GB2312" w:eastAsia="仿宋_GB2312"/>
          <w:color w:val="000000"/>
          <w:sz w:val="32"/>
          <w:szCs w:val="32"/>
        </w:rPr>
        <w:t>。</w:t>
      </w:r>
    </w:p>
    <w:p>
      <w:pPr>
        <w:pStyle w:val="9"/>
        <w:spacing w:before="0" w:after="0" w:line="500" w:lineRule="exact"/>
        <w:ind w:firstLine="645"/>
        <w:jc w:val="both"/>
        <w:rPr>
          <w:rFonts w:ascii="仿宋_GB2312" w:eastAsia="仿宋_GB2312"/>
          <w:color w:val="000000"/>
          <w:sz w:val="32"/>
          <w:szCs w:val="32"/>
        </w:rPr>
      </w:pPr>
      <w:r>
        <w:rPr>
          <w:rStyle w:val="10"/>
          <w:rFonts w:hint="eastAsia" w:ascii="仿宋_GB2312" w:eastAsia="仿宋_GB2312"/>
          <w:b w:val="0"/>
          <w:color w:val="000000"/>
          <w:sz w:val="32"/>
          <w:szCs w:val="32"/>
        </w:rPr>
        <w:t>第十九条</w:t>
      </w:r>
      <w:r>
        <w:rPr>
          <w:rFonts w:hint="eastAsia" w:ascii="仿宋_GB2312" w:eastAsia="仿宋_GB2312"/>
          <w:color w:val="000000"/>
          <w:sz w:val="32"/>
          <w:szCs w:val="32"/>
        </w:rPr>
        <w:t xml:space="preserve"> 有下列行为之一的，撤销其进入信息库资格并在服务平台上公告：</w:t>
      </w:r>
    </w:p>
    <w:p>
      <w:pPr>
        <w:pStyle w:val="9"/>
        <w:spacing w:before="0" w:after="0" w:line="500" w:lineRule="exact"/>
        <w:ind w:firstLine="645"/>
        <w:jc w:val="both"/>
        <w:rPr>
          <w:rFonts w:ascii="仿宋_GB2312" w:eastAsia="仿宋_GB2312"/>
          <w:color w:val="000000"/>
          <w:sz w:val="32"/>
          <w:szCs w:val="32"/>
        </w:rPr>
      </w:pPr>
      <w:r>
        <w:rPr>
          <w:rFonts w:hint="eastAsia" w:ascii="仿宋_GB2312" w:eastAsia="仿宋_GB2312"/>
          <w:color w:val="000000"/>
          <w:sz w:val="32"/>
          <w:szCs w:val="32"/>
        </w:rPr>
        <w:t>（一）依托单位发生重大变化，不再符合入库条件的；</w:t>
      </w:r>
    </w:p>
    <w:p>
      <w:pPr>
        <w:pStyle w:val="9"/>
        <w:spacing w:before="0" w:after="0" w:line="500" w:lineRule="exact"/>
        <w:ind w:firstLine="645"/>
        <w:jc w:val="both"/>
        <w:rPr>
          <w:rFonts w:ascii="仿宋_GB2312" w:eastAsia="仿宋_GB2312"/>
          <w:color w:val="000000"/>
          <w:sz w:val="32"/>
          <w:szCs w:val="32"/>
        </w:rPr>
      </w:pPr>
      <w:r>
        <w:rPr>
          <w:rFonts w:hint="eastAsia" w:ascii="仿宋_GB2312" w:eastAsia="仿宋_GB2312"/>
          <w:color w:val="000000"/>
          <w:sz w:val="32"/>
          <w:szCs w:val="32"/>
        </w:rPr>
        <w:t>（二）存在严重弄虚作假行为的;</w:t>
      </w:r>
    </w:p>
    <w:p>
      <w:pPr>
        <w:pStyle w:val="9"/>
        <w:spacing w:before="0" w:after="0" w:line="500" w:lineRule="exact"/>
        <w:ind w:firstLine="640" w:firstLineChars="200"/>
        <w:jc w:val="both"/>
        <w:rPr>
          <w:rFonts w:ascii="仿宋_GB2312" w:eastAsia="仿宋_GB2312"/>
          <w:color w:val="000000"/>
          <w:sz w:val="32"/>
          <w:szCs w:val="32"/>
        </w:rPr>
      </w:pPr>
      <w:r>
        <w:rPr>
          <w:rFonts w:hint="eastAsia" w:ascii="仿宋_GB2312" w:eastAsia="仿宋_GB2312"/>
          <w:color w:val="000000"/>
          <w:sz w:val="32"/>
          <w:szCs w:val="32"/>
        </w:rPr>
        <w:t>（三）发生科研严重失信行为的；</w:t>
      </w:r>
    </w:p>
    <w:p>
      <w:pPr>
        <w:pStyle w:val="9"/>
        <w:spacing w:before="0" w:after="0" w:line="500" w:lineRule="exact"/>
        <w:ind w:firstLine="640" w:firstLineChars="200"/>
        <w:jc w:val="both"/>
        <w:rPr>
          <w:rFonts w:ascii="仿宋_GB2312" w:eastAsia="仿宋_GB2312"/>
          <w:color w:val="000000"/>
          <w:sz w:val="32"/>
          <w:szCs w:val="32"/>
        </w:rPr>
      </w:pPr>
      <w:r>
        <w:rPr>
          <w:rFonts w:hint="eastAsia" w:ascii="仿宋_GB2312" w:eastAsia="仿宋_GB2312"/>
          <w:color w:val="000000"/>
          <w:sz w:val="32"/>
          <w:szCs w:val="32"/>
        </w:rPr>
        <w:t>（四）被列入经营异常名录和严重违法失信企业名单的；</w:t>
      </w:r>
    </w:p>
    <w:p>
      <w:pPr>
        <w:pStyle w:val="9"/>
        <w:spacing w:before="0" w:after="0" w:line="500" w:lineRule="exact"/>
        <w:ind w:firstLine="640" w:firstLineChars="200"/>
        <w:jc w:val="both"/>
        <w:rPr>
          <w:rFonts w:ascii="仿宋_GB2312" w:eastAsia="仿宋_GB2312"/>
          <w:sz w:val="32"/>
          <w:szCs w:val="32"/>
        </w:rPr>
      </w:pPr>
      <w:r>
        <w:rPr>
          <w:rFonts w:hint="eastAsia" w:ascii="仿宋_GB2312" w:eastAsia="仿宋_GB2312"/>
          <w:color w:val="000000"/>
          <w:sz w:val="32"/>
          <w:szCs w:val="32"/>
        </w:rPr>
        <w:t>（五）</w:t>
      </w:r>
      <w:r>
        <w:rPr>
          <w:rFonts w:hint="eastAsia" w:ascii="仿宋_GB2312" w:eastAsia="仿宋_GB2312"/>
          <w:sz w:val="32"/>
          <w:szCs w:val="32"/>
        </w:rPr>
        <w:t>不按时提交年度报告、无故不参加评估、连续两次评估结果不合格的。</w:t>
      </w:r>
    </w:p>
    <w:p>
      <w:pPr>
        <w:pStyle w:val="11"/>
        <w:numPr>
          <w:ilvl w:val="0"/>
          <w:numId w:val="1"/>
        </w:numPr>
        <w:spacing w:line="500" w:lineRule="exact"/>
        <w:jc w:val="center"/>
        <w:rPr>
          <w:rStyle w:val="10"/>
          <w:rFonts w:ascii="黑体" w:hAnsi="黑体" w:eastAsia="黑体"/>
          <w:b w:val="0"/>
          <w:sz w:val="32"/>
          <w:szCs w:val="32"/>
        </w:rPr>
      </w:pPr>
      <w:r>
        <w:rPr>
          <w:rStyle w:val="10"/>
          <w:rFonts w:hint="eastAsia" w:ascii="黑体" w:hAnsi="黑体" w:eastAsia="黑体"/>
          <w:b w:val="0"/>
          <w:color w:val="000000"/>
          <w:sz w:val="32"/>
          <w:szCs w:val="32"/>
        </w:rPr>
        <w:t>附则</w:t>
      </w:r>
    </w:p>
    <w:p>
      <w:pPr>
        <w:pStyle w:val="11"/>
        <w:spacing w:line="500" w:lineRule="exact"/>
        <w:ind w:firstLine="645"/>
        <w:rPr>
          <w:rFonts w:ascii="仿宋_GB2312" w:eastAsia="仿宋_GB2312"/>
          <w:color w:val="474747"/>
          <w:sz w:val="32"/>
          <w:szCs w:val="32"/>
        </w:rPr>
      </w:pPr>
      <w:r>
        <w:rPr>
          <w:rFonts w:hint="eastAsia" w:ascii="仿宋_GB2312" w:eastAsia="仿宋_GB2312"/>
          <w:bCs/>
          <w:sz w:val="32"/>
          <w:szCs w:val="32"/>
        </w:rPr>
        <w:t xml:space="preserve">第二十条 </w:t>
      </w:r>
      <w:r>
        <w:rPr>
          <w:rFonts w:hint="eastAsia" w:ascii="仿宋_GB2312" w:eastAsia="仿宋_GB2312"/>
          <w:color w:val="000000"/>
          <w:sz w:val="32"/>
          <w:szCs w:val="32"/>
        </w:rPr>
        <w:t>技术创新中心统一命名为“黑龙江省×××技术创新中心”。</w:t>
      </w:r>
    </w:p>
    <w:p>
      <w:pPr>
        <w:pStyle w:val="11"/>
        <w:spacing w:line="500" w:lineRule="exact"/>
        <w:ind w:firstLine="645"/>
        <w:rPr>
          <w:rFonts w:ascii="仿宋_GB2312" w:eastAsia="仿宋_GB2312"/>
          <w:color w:val="000000"/>
          <w:sz w:val="32"/>
          <w:szCs w:val="32"/>
        </w:rPr>
      </w:pPr>
      <w:r>
        <w:rPr>
          <w:rStyle w:val="10"/>
          <w:rFonts w:hint="eastAsia" w:ascii="仿宋_GB2312" w:eastAsia="仿宋_GB2312"/>
          <w:b w:val="0"/>
          <w:color w:val="000000"/>
          <w:sz w:val="32"/>
          <w:szCs w:val="32"/>
        </w:rPr>
        <w:t xml:space="preserve">第二十一条 </w:t>
      </w:r>
      <w:r>
        <w:rPr>
          <w:rFonts w:hint="eastAsia" w:ascii="仿宋_GB2312" w:eastAsia="仿宋_GB2312"/>
          <w:color w:val="000000"/>
          <w:sz w:val="32"/>
          <w:szCs w:val="32"/>
        </w:rPr>
        <w:t>各技术创新中心可以根据本办法制定各技术创新中心的管理制度。</w:t>
      </w:r>
      <w:r>
        <w:rPr>
          <w:rFonts w:hint="eastAsia" w:ascii="仿宋_GB2312" w:eastAsia="仿宋_GB2312"/>
          <w:color w:val="000000"/>
          <w:sz w:val="32"/>
          <w:szCs w:val="32"/>
        </w:rPr>
        <w:br w:type="textWrapping"/>
      </w:r>
      <w:r>
        <w:rPr>
          <w:rStyle w:val="10"/>
          <w:rFonts w:hint="eastAsia" w:ascii="仿宋_GB2312" w:eastAsia="仿宋_GB2312"/>
          <w:b w:val="0"/>
          <w:color w:val="000000"/>
          <w:sz w:val="32"/>
          <w:szCs w:val="32"/>
        </w:rPr>
        <w:t xml:space="preserve">    第二十二条 </w:t>
      </w:r>
      <w:r>
        <w:rPr>
          <w:rFonts w:hint="eastAsia" w:ascii="仿宋_GB2312" w:eastAsia="仿宋_GB2312"/>
          <w:color w:val="000000"/>
          <w:sz w:val="32"/>
          <w:szCs w:val="32"/>
        </w:rPr>
        <w:t>本办法由省科技厅负责解释，自发布之日起实施。原《黑龙江省工程技术研究中心备案管理暂行办法》（黑科规发〔2016〕2号）同时废止。</w:t>
      </w:r>
    </w:p>
    <w:p>
      <w:pPr>
        <w:spacing w:line="560" w:lineRule="exact"/>
        <w:rPr>
          <w:sz w:val="32"/>
          <w:szCs w:val="32"/>
        </w:rPr>
      </w:pPr>
    </w:p>
    <w:sectPr>
      <w:footerReference r:id="rId3" w:type="default"/>
      <w:pgSz w:w="11906" w:h="16838"/>
      <w:pgMar w:top="1440" w:right="1558" w:bottom="1440" w:left="1560" w:header="851" w:footer="377"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367515"/>
      <w:docPartObj>
        <w:docPartGallery w:val="AutoText"/>
      </w:docPartObj>
    </w:sdtPr>
    <w:sdtEndPr>
      <w:rPr>
        <w:rFonts w:asciiTheme="minorEastAsia" w:hAnsiTheme="minorEastAsia"/>
        <w:sz w:val="28"/>
        <w:szCs w:val="28"/>
      </w:rPr>
    </w:sdtEndPr>
    <w:sdtContent>
      <w:p>
        <w:pPr>
          <w:pStyle w:val="4"/>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1 -</w:t>
        </w:r>
        <w:r>
          <w:rPr>
            <w:rFonts w:asciiTheme="minorEastAsia" w:hAnsiTheme="minorEastAsia"/>
            <w:sz w:val="28"/>
            <w:szCs w:val="28"/>
          </w:rPr>
          <w:fldChar w:fldCharType="end"/>
        </w:r>
      </w:p>
    </w:sdtContent>
  </w:sdt>
  <w:p>
    <w:pPr>
      <w:pStyle w:val="4"/>
      <w:rPr>
        <w:rFonts w:asciiTheme="minorEastAsia" w:hAnsiTheme="minorEastAsia"/>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FD7B27"/>
    <w:multiLevelType w:val="multilevel"/>
    <w:tmpl w:val="40FD7B27"/>
    <w:lvl w:ilvl="0" w:tentative="0">
      <w:start w:val="1"/>
      <w:numFmt w:val="japaneseCounting"/>
      <w:lvlText w:val="第%1章"/>
      <w:lvlJc w:val="left"/>
      <w:pPr>
        <w:ind w:left="1215" w:hanging="121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4393D82"/>
    <w:rsid w:val="00021BF7"/>
    <w:rsid w:val="000E201C"/>
    <w:rsid w:val="001C5FA7"/>
    <w:rsid w:val="00321E3F"/>
    <w:rsid w:val="003C1720"/>
    <w:rsid w:val="006955E2"/>
    <w:rsid w:val="009F7683"/>
    <w:rsid w:val="00A33C60"/>
    <w:rsid w:val="00AD4710"/>
    <w:rsid w:val="00E16905"/>
    <w:rsid w:val="0289019C"/>
    <w:rsid w:val="03187061"/>
    <w:rsid w:val="03C47221"/>
    <w:rsid w:val="049F7745"/>
    <w:rsid w:val="04C452B2"/>
    <w:rsid w:val="05191453"/>
    <w:rsid w:val="05C44CCB"/>
    <w:rsid w:val="076E7252"/>
    <w:rsid w:val="07F47FE4"/>
    <w:rsid w:val="086D59DE"/>
    <w:rsid w:val="09567865"/>
    <w:rsid w:val="0A5F3ACB"/>
    <w:rsid w:val="0A835922"/>
    <w:rsid w:val="0B0E0B15"/>
    <w:rsid w:val="0C8D4CE8"/>
    <w:rsid w:val="0CEC7E17"/>
    <w:rsid w:val="0D8B0957"/>
    <w:rsid w:val="0E3C1A68"/>
    <w:rsid w:val="0F00129A"/>
    <w:rsid w:val="0F8D436A"/>
    <w:rsid w:val="0FAB57BF"/>
    <w:rsid w:val="0FDD3EE0"/>
    <w:rsid w:val="10045CAD"/>
    <w:rsid w:val="10F13746"/>
    <w:rsid w:val="11324B54"/>
    <w:rsid w:val="124067B2"/>
    <w:rsid w:val="133104E5"/>
    <w:rsid w:val="15D70E5A"/>
    <w:rsid w:val="15FB6A0C"/>
    <w:rsid w:val="16613A95"/>
    <w:rsid w:val="16A51854"/>
    <w:rsid w:val="185A3ABE"/>
    <w:rsid w:val="18CF2F86"/>
    <w:rsid w:val="19583E2F"/>
    <w:rsid w:val="198A110D"/>
    <w:rsid w:val="19FE1950"/>
    <w:rsid w:val="1A0975B6"/>
    <w:rsid w:val="1D2E5800"/>
    <w:rsid w:val="1D463EE5"/>
    <w:rsid w:val="1D4B6041"/>
    <w:rsid w:val="1DC204FA"/>
    <w:rsid w:val="1DFA04C5"/>
    <w:rsid w:val="1E6837D4"/>
    <w:rsid w:val="1F3F6244"/>
    <w:rsid w:val="1F8D15BE"/>
    <w:rsid w:val="1FE852D3"/>
    <w:rsid w:val="226B7D1F"/>
    <w:rsid w:val="22A76B83"/>
    <w:rsid w:val="2358054F"/>
    <w:rsid w:val="24A8184C"/>
    <w:rsid w:val="256A1702"/>
    <w:rsid w:val="263942ED"/>
    <w:rsid w:val="27582849"/>
    <w:rsid w:val="277F3654"/>
    <w:rsid w:val="27823AEE"/>
    <w:rsid w:val="28005677"/>
    <w:rsid w:val="286C643E"/>
    <w:rsid w:val="28CB0B21"/>
    <w:rsid w:val="291D2E0F"/>
    <w:rsid w:val="2AA20ED0"/>
    <w:rsid w:val="2B9111B2"/>
    <w:rsid w:val="2BBC247A"/>
    <w:rsid w:val="2D183660"/>
    <w:rsid w:val="2D6F29FE"/>
    <w:rsid w:val="2D8561AC"/>
    <w:rsid w:val="2DB00832"/>
    <w:rsid w:val="2E1B5161"/>
    <w:rsid w:val="2E6064FD"/>
    <w:rsid w:val="300B355B"/>
    <w:rsid w:val="30857D32"/>
    <w:rsid w:val="323D43BC"/>
    <w:rsid w:val="331F11A9"/>
    <w:rsid w:val="346320B6"/>
    <w:rsid w:val="347E6A32"/>
    <w:rsid w:val="35337355"/>
    <w:rsid w:val="358B0179"/>
    <w:rsid w:val="368F5AEC"/>
    <w:rsid w:val="384573A5"/>
    <w:rsid w:val="3A484A24"/>
    <w:rsid w:val="3B2D4CD4"/>
    <w:rsid w:val="3B5B4F53"/>
    <w:rsid w:val="3C1403FC"/>
    <w:rsid w:val="3CFE5563"/>
    <w:rsid w:val="3D3F0F72"/>
    <w:rsid w:val="3D7C0BDB"/>
    <w:rsid w:val="3E0B2F7C"/>
    <w:rsid w:val="3E38189B"/>
    <w:rsid w:val="3E8647FC"/>
    <w:rsid w:val="3EE70B02"/>
    <w:rsid w:val="3F1D78F2"/>
    <w:rsid w:val="3FDB37F7"/>
    <w:rsid w:val="3FE47A09"/>
    <w:rsid w:val="40B13CDE"/>
    <w:rsid w:val="40D97493"/>
    <w:rsid w:val="413172B3"/>
    <w:rsid w:val="41DD24DD"/>
    <w:rsid w:val="42474684"/>
    <w:rsid w:val="44290291"/>
    <w:rsid w:val="44393D82"/>
    <w:rsid w:val="4484579F"/>
    <w:rsid w:val="448564A3"/>
    <w:rsid w:val="44A607FD"/>
    <w:rsid w:val="450D4134"/>
    <w:rsid w:val="462F2B31"/>
    <w:rsid w:val="46C705B8"/>
    <w:rsid w:val="47915F41"/>
    <w:rsid w:val="48E525D5"/>
    <w:rsid w:val="49F37B1C"/>
    <w:rsid w:val="4A710B39"/>
    <w:rsid w:val="4B544338"/>
    <w:rsid w:val="4DAF7B35"/>
    <w:rsid w:val="4E744BF7"/>
    <w:rsid w:val="4EBC573B"/>
    <w:rsid w:val="4F887ED1"/>
    <w:rsid w:val="4FCA656B"/>
    <w:rsid w:val="509A6EF7"/>
    <w:rsid w:val="50CA750F"/>
    <w:rsid w:val="510B6059"/>
    <w:rsid w:val="51D95E39"/>
    <w:rsid w:val="52A56694"/>
    <w:rsid w:val="53B33E09"/>
    <w:rsid w:val="53F96327"/>
    <w:rsid w:val="546E6598"/>
    <w:rsid w:val="55037788"/>
    <w:rsid w:val="5598523E"/>
    <w:rsid w:val="562B627E"/>
    <w:rsid w:val="56577DA6"/>
    <w:rsid w:val="56722882"/>
    <w:rsid w:val="589044F5"/>
    <w:rsid w:val="599C17EB"/>
    <w:rsid w:val="59A85232"/>
    <w:rsid w:val="59BF10B4"/>
    <w:rsid w:val="5A59101D"/>
    <w:rsid w:val="5AB44952"/>
    <w:rsid w:val="5B6A28A0"/>
    <w:rsid w:val="5B777B12"/>
    <w:rsid w:val="6036389D"/>
    <w:rsid w:val="60522285"/>
    <w:rsid w:val="608043A6"/>
    <w:rsid w:val="608E6FE9"/>
    <w:rsid w:val="6126508D"/>
    <w:rsid w:val="62AC13D5"/>
    <w:rsid w:val="64023B2F"/>
    <w:rsid w:val="64963C39"/>
    <w:rsid w:val="653D00BB"/>
    <w:rsid w:val="65A65AC6"/>
    <w:rsid w:val="66F66BF6"/>
    <w:rsid w:val="67FC1460"/>
    <w:rsid w:val="68BC352F"/>
    <w:rsid w:val="6BBC0956"/>
    <w:rsid w:val="6BBD0A0D"/>
    <w:rsid w:val="6D3E71F6"/>
    <w:rsid w:val="6EF2757C"/>
    <w:rsid w:val="6F08485D"/>
    <w:rsid w:val="70F518EE"/>
    <w:rsid w:val="713043A5"/>
    <w:rsid w:val="728765C1"/>
    <w:rsid w:val="72D3608B"/>
    <w:rsid w:val="74B0515E"/>
    <w:rsid w:val="758838CF"/>
    <w:rsid w:val="765203D7"/>
    <w:rsid w:val="77252052"/>
    <w:rsid w:val="774A37E4"/>
    <w:rsid w:val="78A3506C"/>
    <w:rsid w:val="7A0E51A4"/>
    <w:rsid w:val="7B7F1B28"/>
    <w:rsid w:val="7B8E0E5E"/>
    <w:rsid w:val="7BBB424C"/>
    <w:rsid w:val="7BED342A"/>
    <w:rsid w:val="7CEE05EF"/>
    <w:rsid w:val="7D143388"/>
    <w:rsid w:val="7D2036A1"/>
    <w:rsid w:val="7D897941"/>
    <w:rsid w:val="7F5A4BB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4"/>
    <w:uiPriority w:val="0"/>
    <w:pPr>
      <w:ind w:left="100" w:leftChars="2500"/>
    </w:pPr>
  </w:style>
  <w:style w:type="paragraph" w:styleId="3">
    <w:name w:val="Balloon Text"/>
    <w:basedOn w:val="1"/>
    <w:link w:val="16"/>
    <w:uiPriority w:val="0"/>
    <w:rPr>
      <w:sz w:val="18"/>
      <w:szCs w:val="18"/>
    </w:rPr>
  </w:style>
  <w:style w:type="paragraph" w:styleId="4">
    <w:name w:val="footer"/>
    <w:basedOn w:val="1"/>
    <w:link w:val="15"/>
    <w:qFormat/>
    <w:uiPriority w:val="99"/>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paragraph" w:customStyle="1" w:styleId="9">
    <w:name w:val="p18"/>
    <w:basedOn w:val="1"/>
    <w:qFormat/>
    <w:uiPriority w:val="0"/>
    <w:pPr>
      <w:widowControl/>
      <w:spacing w:before="100" w:after="100"/>
      <w:jc w:val="left"/>
    </w:pPr>
    <w:rPr>
      <w:rFonts w:ascii="宋体" w:hAnsi="宋体" w:eastAsia="宋体" w:cs="宋体"/>
      <w:kern w:val="0"/>
      <w:sz w:val="24"/>
    </w:rPr>
  </w:style>
  <w:style w:type="character" w:customStyle="1" w:styleId="10">
    <w:name w:val="15"/>
    <w:basedOn w:val="7"/>
    <w:qFormat/>
    <w:uiPriority w:val="0"/>
    <w:rPr>
      <w:rFonts w:hint="default" w:ascii="Times New Roman" w:hAnsi="Times New Roman" w:cs="Times New Roman"/>
      <w:b/>
      <w:bCs/>
      <w:sz w:val="20"/>
      <w:szCs w:val="20"/>
    </w:rPr>
  </w:style>
  <w:style w:type="paragraph" w:customStyle="1" w:styleId="11">
    <w:name w:val="p0"/>
    <w:basedOn w:val="1"/>
    <w:qFormat/>
    <w:uiPriority w:val="0"/>
    <w:pPr>
      <w:widowControl/>
    </w:pPr>
    <w:rPr>
      <w:rFonts w:ascii="Times New Roman" w:hAnsi="Times New Roman" w:eastAsia="宋体" w:cs="Times New Roman"/>
      <w:kern w:val="0"/>
      <w:szCs w:val="21"/>
    </w:rPr>
  </w:style>
  <w:style w:type="paragraph" w:customStyle="1" w:styleId="12">
    <w:name w:val="p16"/>
    <w:basedOn w:val="1"/>
    <w:qFormat/>
    <w:uiPriority w:val="0"/>
    <w:pPr>
      <w:widowControl/>
      <w:jc w:val="left"/>
    </w:pPr>
    <w:rPr>
      <w:rFonts w:ascii="Times New Roman" w:hAnsi="Times New Roman" w:eastAsia="宋体" w:cs="Times New Roman"/>
      <w:kern w:val="0"/>
      <w:szCs w:val="21"/>
    </w:rPr>
  </w:style>
  <w:style w:type="character" w:customStyle="1" w:styleId="13">
    <w:name w:val="页眉 Char"/>
    <w:basedOn w:val="7"/>
    <w:link w:val="5"/>
    <w:qFormat/>
    <w:uiPriority w:val="0"/>
    <w:rPr>
      <w:rFonts w:asciiTheme="minorHAnsi" w:hAnsiTheme="minorHAnsi" w:eastAsiaTheme="minorEastAsia" w:cstheme="minorBidi"/>
      <w:kern w:val="2"/>
      <w:sz w:val="18"/>
      <w:szCs w:val="18"/>
    </w:rPr>
  </w:style>
  <w:style w:type="character" w:customStyle="1" w:styleId="14">
    <w:name w:val="日期 Char"/>
    <w:basedOn w:val="7"/>
    <w:link w:val="2"/>
    <w:qFormat/>
    <w:uiPriority w:val="0"/>
    <w:rPr>
      <w:rFonts w:asciiTheme="minorHAnsi" w:hAnsiTheme="minorHAnsi" w:eastAsiaTheme="minorEastAsia" w:cstheme="minorBidi"/>
      <w:kern w:val="2"/>
      <w:sz w:val="21"/>
      <w:szCs w:val="24"/>
    </w:rPr>
  </w:style>
  <w:style w:type="character" w:customStyle="1" w:styleId="15">
    <w:name w:val="页脚 Char"/>
    <w:basedOn w:val="7"/>
    <w:link w:val="4"/>
    <w:uiPriority w:val="99"/>
    <w:rPr>
      <w:rFonts w:asciiTheme="minorHAnsi" w:hAnsiTheme="minorHAnsi" w:eastAsiaTheme="minorEastAsia" w:cstheme="minorBidi"/>
      <w:kern w:val="2"/>
      <w:sz w:val="18"/>
      <w:szCs w:val="18"/>
    </w:rPr>
  </w:style>
  <w:style w:type="character" w:customStyle="1" w:styleId="16">
    <w:name w:val="批注框文本 Char"/>
    <w:basedOn w:val="7"/>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SIST02.XSL" StyleName="SIST02"/>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DF3D7-8F50-4759-9C55-FE7F1DF76DE1}">
  <ds:schemaRefs/>
</ds:datastoreItem>
</file>

<file path=docProps/app.xml><?xml version="1.0" encoding="utf-8"?>
<Properties xmlns="http://schemas.openxmlformats.org/officeDocument/2006/extended-properties" xmlns:vt="http://schemas.openxmlformats.org/officeDocument/2006/docPropsVTypes">
  <Template>Normal</Template>
  <Pages>9</Pages>
  <Words>642</Words>
  <Characters>3665</Characters>
  <Lines>30</Lines>
  <Paragraphs>8</Paragraphs>
  <TotalTime>0</TotalTime>
  <ScaleCrop>false</ScaleCrop>
  <LinksUpToDate>false</LinksUpToDate>
  <CharactersWithSpaces>4299</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2018-05-15T08:36:00Z</dcterms:created>
  <dc:creator>23261398563004</dc:creator>
  <cp:lastModifiedBy>23261398563004</cp:lastModifiedBy>
  <cp:lastPrinted>2018-06-14T03:04:00Z</cp:lastPrinted>
  <dcterms:modified xsi:type="dcterms:W3CDTF">2018-06-14T07:00:08Z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